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4920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4920615"/>
                    </a:xfrm>
                    <a:prstGeom prst="rect">
                      <a:avLst/>
                    </a:prstGeom>
                    <a:noFill/>
                  </pic:spPr>
                </pic:pic>
              </a:graphicData>
            </a:graphic>
          </wp:anchor>
        </w:drawing>
      </w:r>
    </w:p>
    <w:p>
      <w:pPr>
        <w:spacing w:after="0" w:line="79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3">
        <w:r>
          <w:rPr>
            <w:rFonts w:ascii="Times New Roman" w:cs="Times New Roman" w:eastAsia="Times New Roman" w:hAnsi="Times New Roman"/>
            <w:sz w:val="17"/>
            <w:szCs w:val="17"/>
            <w:u w:val="single" w:color="auto"/>
            <w:color w:val="0000EE"/>
          </w:rPr>
          <w:t>Brennan Thomas P JR</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ONE SE CONVENIENCE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u w:val="single" w:color="auto"/>
            <w:color w:val="0000EE"/>
          </w:rPr>
          <w:t>CASEYS GENERAL STORES INC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CASY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326" w:lineRule="exact"/>
        <w:rPr>
          <w:sz w:val="24"/>
          <w:szCs w:val="24"/>
          <w:color w:val="auto"/>
        </w:rPr>
      </w:pPr>
    </w:p>
    <w:p>
      <w:pPr>
        <w:spacing w:after="0"/>
        <w:rPr>
          <w:sz w:val="20"/>
          <w:szCs w:val="20"/>
          <w:color w:val="auto"/>
        </w:rPr>
      </w:pPr>
      <w:r>
        <w:rPr>
          <w:rFonts w:ascii="Arial" w:cs="Arial" w:eastAsia="Arial" w:hAnsi="Arial"/>
          <w:sz w:val="10"/>
          <w:szCs w:val="10"/>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06/15/2026</w:t>
      </w:r>
    </w:p>
    <w:p>
      <w:pPr>
        <w:spacing w:after="0" w:line="20" w:lineRule="exact"/>
        <w:rPr>
          <w:sz w:val="24"/>
          <w:szCs w:val="24"/>
          <w:color w:val="auto"/>
        </w:rPr>
      </w:pPr>
      <w:r>
        <w:rPr>
          <w:sz w:val="24"/>
          <w:szCs w:val="24"/>
          <w:color w:val="auto"/>
        </w:rPr>
        <w:br w:type="column"/>
      </w:r>
    </w:p>
    <w:p>
      <w:pPr>
        <w:ind w:left="7" w:right="1080" w:hanging="7"/>
        <w:spacing w:after="0" w:line="270"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3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1027"/>
        <w:spacing w:after="0"/>
        <w:rPr>
          <w:sz w:val="20"/>
          <w:szCs w:val="20"/>
          <w:color w:val="auto"/>
        </w:rPr>
      </w:pPr>
      <w:r>
        <w:rPr>
          <w:rFonts w:ascii="Times New Roman" w:cs="Times New Roman" w:eastAsia="Times New Roman" w:hAnsi="Times New Roman"/>
          <w:sz w:val="13"/>
          <w:szCs w:val="13"/>
          <w:color w:val="0000FF"/>
        </w:rPr>
        <w:t>Chief Merch. Officer</w:t>
      </w:r>
    </w:p>
    <w:p>
      <w:pPr>
        <w:spacing w:after="0" w:line="303" w:lineRule="exact"/>
        <w:rPr>
          <w:sz w:val="24"/>
          <w:szCs w:val="24"/>
          <w:color w:val="auto"/>
        </w:rPr>
      </w:pPr>
    </w:p>
    <w:p>
      <w:pPr>
        <w:sectPr>
          <w:pgSz w:w="11900" w:h="16838" w:orient="portrait"/>
          <w:cols w:equalWidth="0" w:num="3">
            <w:col w:w="3180" w:space="720"/>
            <w:col w:w="3133" w:space="720"/>
            <w:col w:w="3267"/>
          </w:cols>
          <w:pgMar w:left="440" w:top="202" w:right="439" w:bottom="1440" w:gutter="0" w:footer="0" w:header="0"/>
          <w:type w:val="continuous"/>
        </w:sectPr>
      </w:pP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80" w:type="dxa"/>
            <w:vAlign w:val="bottom"/>
            <w:tcBorders>
              <w:top w:val="single" w:sz="8" w:color="2C2C2C"/>
            </w:tcBorders>
            <w:gridSpan w:val="6"/>
            <w:vMerge w:val="restart"/>
          </w:tcPr>
          <w:p>
            <w:pPr>
              <w:ind w:left="40"/>
              <w:spacing w:after="0"/>
              <w:rPr>
                <w:sz w:val="20"/>
                <w:szCs w:val="20"/>
                <w:color w:val="auto"/>
              </w:rPr>
            </w:pPr>
            <w:r>
              <w:rPr>
                <w:rFonts w:ascii="Arial" w:cs="Arial" w:eastAsia="Arial" w:hAnsi="Arial"/>
                <w:sz w:val="10"/>
                <w:szCs w:val="10"/>
                <w:color w:val="auto"/>
              </w:rPr>
              <w:t>4. If Amendment, Date of Original Filed (Month/Day/Year)</w:t>
            </w:r>
          </w:p>
        </w:tc>
        <w:tc>
          <w:tcPr>
            <w:tcW w:w="10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3520" w:type="dxa"/>
            <w:vAlign w:val="bottom"/>
            <w:tcBorders>
              <w:top w:val="single" w:sz="8" w:color="2C2C2C"/>
            </w:tcBorders>
            <w:gridSpan w:val="7"/>
            <w:vMerge w:val="restart"/>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ANKENY</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IA</w:t>
            </w:r>
          </w:p>
        </w:tc>
        <w:tc>
          <w:tcPr>
            <w:tcW w:w="17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3"/>
                <w:szCs w:val="13"/>
                <w:color w:val="0000FF"/>
              </w:rPr>
              <w:t>50021</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780" w:type="dxa"/>
            <w:vAlign w:val="bottom"/>
            <w:gridSpan w:val="6"/>
            <w:vMerge w:val="continue"/>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520" w:type="dxa"/>
            <w:vAlign w:val="bottom"/>
            <w:gridSpan w:val="7"/>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(City)</w:t>
            </w:r>
          </w:p>
        </w:tc>
        <w:tc>
          <w:tcPr>
            <w:tcW w:w="720" w:type="dxa"/>
            <w:vAlign w:val="bottom"/>
            <w:vMerge w:val="restart"/>
          </w:tcPr>
          <w:p>
            <w:pPr>
              <w:ind w:left="200"/>
              <w:spacing w:after="0"/>
              <w:rPr>
                <w:sz w:val="20"/>
                <w:szCs w:val="20"/>
                <w:color w:val="auto"/>
              </w:rPr>
            </w:pPr>
            <w:r>
              <w:rPr>
                <w:rFonts w:ascii="Arial" w:cs="Arial" w:eastAsia="Arial" w:hAnsi="Arial"/>
                <w:sz w:val="10"/>
                <w:szCs w:val="10"/>
                <w:color w:val="auto"/>
              </w:rPr>
              <w:t>(State)</w:t>
            </w:r>
          </w:p>
        </w:tc>
        <w:tc>
          <w:tcPr>
            <w:tcW w:w="1740" w:type="dxa"/>
            <w:vAlign w:val="bottom"/>
            <w:gridSpan w:val="2"/>
            <w:vMerge w:val="restart"/>
          </w:tcPr>
          <w:p>
            <w:pPr>
              <w:ind w:left="7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7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28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60" w:type="dxa"/>
            <w:vAlign w:val="bottom"/>
            <w:tcBorders>
              <w:top w:val="single" w:sz="8" w:color="2C2C2C"/>
            </w:tcBorders>
          </w:tcPr>
          <w:p>
            <w:pPr>
              <w:spacing w:after="0"/>
              <w:rPr>
                <w:sz w:val="17"/>
                <w:szCs w:val="17"/>
                <w:color w:val="auto"/>
              </w:rPr>
            </w:pPr>
          </w:p>
        </w:tc>
        <w:tc>
          <w:tcPr>
            <w:tcW w:w="5440" w:type="dxa"/>
            <w:vAlign w:val="bottom"/>
            <w:tcBorders>
              <w:top w:val="single" w:sz="8" w:color="2C2C2C"/>
            </w:tcBorders>
            <w:gridSpan w:val="12"/>
          </w:tcPr>
          <w:p>
            <w:pPr>
              <w:jc w:val="center"/>
              <w:ind w:left="126"/>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gridSpan w:val="3"/>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jc w:val="right"/>
              <w:ind w:right="8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gridSpan w:val="3"/>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0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4"/>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gridSpan w:val="3"/>
          </w:tcPr>
          <w:p>
            <w:pPr>
              <w:ind w:left="100"/>
              <w:spacing w:after="0"/>
              <w:rPr>
                <w:sz w:val="20"/>
                <w:szCs w:val="20"/>
                <w:color w:val="auto"/>
              </w:rPr>
            </w:pPr>
            <w:r>
              <w:rPr>
                <w:rFonts w:ascii="Arial" w:cs="Arial" w:eastAsia="Arial" w:hAnsi="Arial"/>
                <w:sz w:val="9"/>
                <w:szCs w:val="9"/>
                <w:b w:val="1"/>
                <w:bCs w:val="1"/>
                <w:color w:val="auto"/>
                <w:w w:val="99"/>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4"/>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280" w:type="dxa"/>
            <w:vAlign w:val="bottom"/>
            <w:vMerge w:val="restart"/>
          </w:tcPr>
          <w:p>
            <w:pPr>
              <w:jc w:val="center"/>
              <w:ind w:left="11"/>
              <w:spacing w:after="0"/>
              <w:rPr>
                <w:sz w:val="20"/>
                <w:szCs w:val="20"/>
                <w:color w:val="auto"/>
              </w:rPr>
            </w:pPr>
            <w:r>
              <w:rPr>
                <w:rFonts w:ascii="Arial" w:cs="Arial" w:eastAsia="Arial" w:hAnsi="Arial"/>
                <w:sz w:val="9"/>
                <w:szCs w:val="9"/>
                <w:b w:val="1"/>
                <w:bCs w:val="1"/>
                <w:color w:val="auto"/>
                <w:w w:val="97"/>
              </w:rPr>
              <w:t>Code</w:t>
            </w:r>
          </w:p>
        </w:tc>
        <w:tc>
          <w:tcPr>
            <w:tcW w:w="420" w:type="dxa"/>
            <w:vAlign w:val="bottom"/>
            <w:vMerge w:val="restart"/>
          </w:tcPr>
          <w:p>
            <w:pPr>
              <w:jc w:val="right"/>
              <w:ind w:right="116"/>
              <w:spacing w:after="0"/>
              <w:rPr>
                <w:sz w:val="20"/>
                <w:szCs w:val="20"/>
                <w:color w:val="auto"/>
              </w:rPr>
            </w:pPr>
            <w:r>
              <w:rPr>
                <w:rFonts w:ascii="Arial" w:cs="Arial" w:eastAsia="Arial" w:hAnsi="Arial"/>
                <w:sz w:val="9"/>
                <w:szCs w:val="9"/>
                <w:b w:val="1"/>
                <w:bCs w:val="1"/>
                <w:color w:val="auto"/>
              </w:rPr>
              <w:t>V</w:t>
            </w:r>
          </w:p>
        </w:tc>
        <w:tc>
          <w:tcPr>
            <w:tcW w:w="58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6"/>
                <w:szCs w:val="6"/>
                <w:color w:val="auto"/>
              </w:rPr>
            </w:pPr>
          </w:p>
        </w:tc>
        <w:tc>
          <w:tcPr>
            <w:tcW w:w="740" w:type="dxa"/>
            <w:vAlign w:val="bottom"/>
            <w:vMerge w:val="restart"/>
          </w:tcPr>
          <w:p>
            <w:pPr>
              <w:jc w:val="center"/>
              <w:ind w:left="141"/>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jc w:val="right"/>
              <w:ind w:right="32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0000FF"/>
              </w:rPr>
              <w:t>06/15/2026</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jc w:val="center"/>
              <w:ind w:left="111"/>
              <w:spacing w:after="0"/>
              <w:rPr>
                <w:sz w:val="20"/>
                <w:szCs w:val="20"/>
                <w:color w:val="auto"/>
              </w:rPr>
            </w:pPr>
            <w:r>
              <w:rPr>
                <w:rFonts w:ascii="Times New Roman" w:cs="Times New Roman" w:eastAsia="Times New Roman" w:hAnsi="Times New Roman"/>
                <w:sz w:val="10"/>
                <w:szCs w:val="10"/>
                <w:color w:val="0000FF"/>
                <w:w w:val="89"/>
              </w:rPr>
              <w:t>M</w:t>
            </w:r>
          </w:p>
        </w:tc>
        <w:tc>
          <w:tcPr>
            <w:tcW w:w="420" w:type="dxa"/>
            <w:vAlign w:val="bottom"/>
          </w:tcPr>
          <w:p>
            <w:pPr>
              <w:spacing w:after="0"/>
              <w:rPr>
                <w:sz w:val="18"/>
                <w:szCs w:val="18"/>
                <w:color w:val="auto"/>
              </w:rPr>
            </w:pPr>
          </w:p>
        </w:tc>
        <w:tc>
          <w:tcPr>
            <w:tcW w:w="580" w:type="dxa"/>
            <w:vAlign w:val="bottom"/>
          </w:tcPr>
          <w:p>
            <w:pPr>
              <w:jc w:val="center"/>
              <w:ind w:left="327"/>
              <w:spacing w:after="0"/>
              <w:rPr>
                <w:sz w:val="20"/>
                <w:szCs w:val="20"/>
                <w:color w:val="auto"/>
              </w:rPr>
            </w:pPr>
            <w:r>
              <w:rPr>
                <w:rFonts w:ascii="Times New Roman" w:cs="Times New Roman" w:eastAsia="Times New Roman" w:hAnsi="Times New Roman"/>
                <w:sz w:val="13"/>
                <w:szCs w:val="13"/>
                <w:color w:val="0000FF"/>
              </w:rPr>
              <w:t>411</w:t>
            </w:r>
          </w:p>
        </w:tc>
        <w:tc>
          <w:tcPr>
            <w:tcW w:w="100" w:type="dxa"/>
            <w:vAlign w:val="bottom"/>
          </w:tcPr>
          <w:p>
            <w:pPr>
              <w:spacing w:after="0"/>
              <w:rPr>
                <w:sz w:val="18"/>
                <w:szCs w:val="18"/>
                <w:color w:val="auto"/>
              </w:rPr>
            </w:pPr>
          </w:p>
        </w:tc>
        <w:tc>
          <w:tcPr>
            <w:tcW w:w="740" w:type="dxa"/>
            <w:vAlign w:val="bottom"/>
          </w:tcPr>
          <w:p>
            <w:pPr>
              <w:jc w:val="center"/>
              <w:ind w:left="161"/>
              <w:spacing w:after="0"/>
              <w:rPr>
                <w:sz w:val="20"/>
                <w:szCs w:val="20"/>
                <w:color w:val="auto"/>
              </w:rPr>
            </w:pPr>
            <w:r>
              <w:rPr>
                <w:rFonts w:ascii="Times New Roman" w:cs="Times New Roman" w:eastAsia="Times New Roman" w:hAnsi="Times New Roman"/>
                <w:sz w:val="13"/>
                <w:szCs w:val="13"/>
                <w:color w:val="0000FF"/>
                <w:w w:val="84"/>
              </w:rPr>
              <w:t>A</w:t>
            </w:r>
          </w:p>
        </w:tc>
        <w:tc>
          <w:tcPr>
            <w:tcW w:w="660" w:type="dxa"/>
            <w:vAlign w:val="bottom"/>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780" w:type="dxa"/>
            <w:vAlign w:val="bottom"/>
            <w:gridSpan w:val="2"/>
          </w:tcPr>
          <w:p>
            <w:pPr>
              <w:jc w:val="center"/>
              <w:ind w:left="305"/>
              <w:spacing w:after="0"/>
              <w:rPr>
                <w:sz w:val="20"/>
                <w:szCs w:val="20"/>
                <w:color w:val="auto"/>
              </w:rPr>
            </w:pPr>
            <w:r>
              <w:rPr>
                <w:rFonts w:ascii="Times New Roman" w:cs="Times New Roman" w:eastAsia="Times New Roman" w:hAnsi="Times New Roman"/>
                <w:sz w:val="13"/>
                <w:szCs w:val="13"/>
                <w:color w:val="0000FF"/>
              </w:rPr>
              <w:t>8,745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center"/>
              <w:ind w:right="284"/>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0000FF"/>
              </w:rPr>
              <w:t>06/15/2026</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jc w:val="center"/>
              <w:ind w:left="111"/>
              <w:spacing w:after="0"/>
              <w:rPr>
                <w:sz w:val="20"/>
                <w:szCs w:val="20"/>
                <w:color w:val="auto"/>
              </w:rPr>
            </w:pPr>
            <w:r>
              <w:rPr>
                <w:rFonts w:ascii="Times New Roman" w:cs="Times New Roman" w:eastAsia="Times New Roman" w:hAnsi="Times New Roman"/>
                <w:sz w:val="10"/>
                <w:szCs w:val="10"/>
                <w:color w:val="0000FF"/>
                <w:w w:val="89"/>
              </w:rPr>
              <w:t>M</w:t>
            </w:r>
          </w:p>
        </w:tc>
        <w:tc>
          <w:tcPr>
            <w:tcW w:w="420" w:type="dxa"/>
            <w:vAlign w:val="bottom"/>
          </w:tcPr>
          <w:p>
            <w:pPr>
              <w:spacing w:after="0"/>
              <w:rPr>
                <w:sz w:val="18"/>
                <w:szCs w:val="18"/>
                <w:color w:val="auto"/>
              </w:rPr>
            </w:pPr>
          </w:p>
        </w:tc>
        <w:tc>
          <w:tcPr>
            <w:tcW w:w="680" w:type="dxa"/>
            <w:vAlign w:val="bottom"/>
            <w:gridSpan w:val="2"/>
          </w:tcPr>
          <w:p>
            <w:pPr>
              <w:jc w:val="center"/>
              <w:ind w:left="227"/>
              <w:spacing w:after="0"/>
              <w:rPr>
                <w:sz w:val="20"/>
                <w:szCs w:val="20"/>
                <w:color w:val="auto"/>
              </w:rPr>
            </w:pPr>
            <w:r>
              <w:rPr>
                <w:rFonts w:ascii="Times New Roman" w:cs="Times New Roman" w:eastAsia="Times New Roman" w:hAnsi="Times New Roman"/>
                <w:sz w:val="13"/>
                <w:szCs w:val="13"/>
                <w:color w:val="0000FF"/>
              </w:rPr>
              <w:t>297</w:t>
            </w:r>
          </w:p>
        </w:tc>
        <w:tc>
          <w:tcPr>
            <w:tcW w:w="740" w:type="dxa"/>
            <w:vAlign w:val="bottom"/>
          </w:tcPr>
          <w:p>
            <w:pPr>
              <w:jc w:val="center"/>
              <w:ind w:left="161"/>
              <w:spacing w:after="0"/>
              <w:rPr>
                <w:sz w:val="20"/>
                <w:szCs w:val="20"/>
                <w:color w:val="auto"/>
              </w:rPr>
            </w:pPr>
            <w:r>
              <w:rPr>
                <w:rFonts w:ascii="Times New Roman" w:cs="Times New Roman" w:eastAsia="Times New Roman" w:hAnsi="Times New Roman"/>
                <w:sz w:val="13"/>
                <w:szCs w:val="13"/>
                <w:color w:val="0000FF"/>
                <w:w w:val="84"/>
              </w:rPr>
              <w:t>A</w:t>
            </w:r>
          </w:p>
        </w:tc>
        <w:tc>
          <w:tcPr>
            <w:tcW w:w="660" w:type="dxa"/>
            <w:vAlign w:val="bottom"/>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780" w:type="dxa"/>
            <w:vAlign w:val="bottom"/>
            <w:gridSpan w:val="2"/>
          </w:tcPr>
          <w:p>
            <w:pPr>
              <w:jc w:val="center"/>
              <w:ind w:left="305"/>
              <w:spacing w:after="0"/>
              <w:rPr>
                <w:sz w:val="20"/>
                <w:szCs w:val="20"/>
                <w:color w:val="auto"/>
              </w:rPr>
            </w:pPr>
            <w:r>
              <w:rPr>
                <w:rFonts w:ascii="Times New Roman" w:cs="Times New Roman" w:eastAsia="Times New Roman" w:hAnsi="Times New Roman"/>
                <w:sz w:val="13"/>
                <w:szCs w:val="13"/>
                <w:color w:val="0000FF"/>
              </w:rPr>
              <w:t>9,042</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center"/>
              <w:ind w:right="284"/>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0000FF"/>
              </w:rPr>
              <w:t>06/15/2026</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jc w:val="center"/>
              <w:ind w:left="111"/>
              <w:spacing w:after="0"/>
              <w:rPr>
                <w:sz w:val="20"/>
                <w:szCs w:val="20"/>
                <w:color w:val="auto"/>
              </w:rPr>
            </w:pPr>
            <w:r>
              <w:rPr>
                <w:rFonts w:ascii="Times New Roman" w:cs="Times New Roman" w:eastAsia="Times New Roman" w:hAnsi="Times New Roman"/>
                <w:sz w:val="10"/>
                <w:szCs w:val="10"/>
                <w:color w:val="0000FF"/>
                <w:w w:val="89"/>
              </w:rPr>
              <w:t>M</w:t>
            </w:r>
          </w:p>
        </w:tc>
        <w:tc>
          <w:tcPr>
            <w:tcW w:w="420" w:type="dxa"/>
            <w:vAlign w:val="bottom"/>
          </w:tcPr>
          <w:p>
            <w:pPr>
              <w:spacing w:after="0"/>
              <w:rPr>
                <w:sz w:val="18"/>
                <w:szCs w:val="18"/>
                <w:color w:val="auto"/>
              </w:rPr>
            </w:pPr>
          </w:p>
        </w:tc>
        <w:tc>
          <w:tcPr>
            <w:tcW w:w="680" w:type="dxa"/>
            <w:vAlign w:val="bottom"/>
            <w:gridSpan w:val="2"/>
          </w:tcPr>
          <w:p>
            <w:pPr>
              <w:jc w:val="center"/>
              <w:ind w:left="227"/>
              <w:spacing w:after="0"/>
              <w:rPr>
                <w:sz w:val="20"/>
                <w:szCs w:val="20"/>
                <w:color w:val="auto"/>
              </w:rPr>
            </w:pPr>
            <w:r>
              <w:rPr>
                <w:rFonts w:ascii="Times New Roman" w:cs="Times New Roman" w:eastAsia="Times New Roman" w:hAnsi="Times New Roman"/>
                <w:sz w:val="13"/>
                <w:szCs w:val="13"/>
                <w:color w:val="0000FF"/>
              </w:rPr>
              <w:t>318</w:t>
            </w:r>
          </w:p>
        </w:tc>
        <w:tc>
          <w:tcPr>
            <w:tcW w:w="740" w:type="dxa"/>
            <w:vAlign w:val="bottom"/>
          </w:tcPr>
          <w:p>
            <w:pPr>
              <w:jc w:val="center"/>
              <w:ind w:left="161"/>
              <w:spacing w:after="0"/>
              <w:rPr>
                <w:sz w:val="20"/>
                <w:szCs w:val="20"/>
                <w:color w:val="auto"/>
              </w:rPr>
            </w:pPr>
            <w:r>
              <w:rPr>
                <w:rFonts w:ascii="Times New Roman" w:cs="Times New Roman" w:eastAsia="Times New Roman" w:hAnsi="Times New Roman"/>
                <w:sz w:val="13"/>
                <w:szCs w:val="13"/>
                <w:color w:val="0000FF"/>
                <w:w w:val="84"/>
              </w:rPr>
              <w:t>A</w:t>
            </w:r>
          </w:p>
        </w:tc>
        <w:tc>
          <w:tcPr>
            <w:tcW w:w="660" w:type="dxa"/>
            <w:vAlign w:val="bottom"/>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780" w:type="dxa"/>
            <w:vAlign w:val="bottom"/>
            <w:gridSpan w:val="2"/>
          </w:tcPr>
          <w:p>
            <w:pPr>
              <w:jc w:val="center"/>
              <w:ind w:left="305"/>
              <w:spacing w:after="0"/>
              <w:rPr>
                <w:sz w:val="20"/>
                <w:szCs w:val="20"/>
                <w:color w:val="auto"/>
              </w:rPr>
            </w:pPr>
            <w:r>
              <w:rPr>
                <w:rFonts w:ascii="Times New Roman" w:cs="Times New Roman" w:eastAsia="Times New Roman" w:hAnsi="Times New Roman"/>
                <w:sz w:val="13"/>
                <w:szCs w:val="13"/>
                <w:color w:val="0000FF"/>
              </w:rPr>
              <w:t>9,360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center"/>
              <w:ind w:right="284"/>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06/15/2026</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0"/>
                <w:szCs w:val="10"/>
                <w:color w:val="0000FF"/>
              </w:rPr>
              <w:t>A</w:t>
            </w:r>
          </w:p>
        </w:tc>
        <w:tc>
          <w:tcPr>
            <w:tcW w:w="4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gridSpan w:val="2"/>
          </w:tcPr>
          <w:p>
            <w:pPr>
              <w:jc w:val="center"/>
              <w:ind w:left="227"/>
              <w:spacing w:after="0"/>
              <w:rPr>
                <w:sz w:val="20"/>
                <w:szCs w:val="20"/>
                <w:color w:val="auto"/>
              </w:rPr>
            </w:pPr>
            <w:r>
              <w:rPr>
                <w:rFonts w:ascii="Times New Roman" w:cs="Times New Roman" w:eastAsia="Times New Roman" w:hAnsi="Times New Roman"/>
                <w:sz w:val="13"/>
                <w:szCs w:val="13"/>
                <w:color w:val="0000FF"/>
                <w:w w:val="94"/>
              </w:rPr>
              <w:t>9,246</w:t>
            </w:r>
            <w:r>
              <w:rPr>
                <w:rFonts w:ascii="Times New Roman" w:cs="Times New Roman" w:eastAsia="Times New Roman" w:hAnsi="Times New Roman"/>
                <w:sz w:val="17"/>
                <w:szCs w:val="17"/>
                <w:color w:val="008000"/>
                <w:w w:val="94"/>
                <w:vertAlign w:val="superscript"/>
              </w:rPr>
              <w:t>(1)</w:t>
            </w:r>
          </w:p>
        </w:tc>
        <w:tc>
          <w:tcPr>
            <w:tcW w:w="740" w:type="dxa"/>
            <w:vAlign w:val="bottom"/>
            <w:tcBorders>
              <w:bottom w:val="single" w:sz="8" w:color="2C2C2C"/>
            </w:tcBorders>
          </w:tcPr>
          <w:p>
            <w:pPr>
              <w:jc w:val="center"/>
              <w:ind w:left="161"/>
              <w:spacing w:after="0"/>
              <w:rPr>
                <w:sz w:val="20"/>
                <w:szCs w:val="20"/>
                <w:color w:val="auto"/>
              </w:rPr>
            </w:pPr>
            <w:r>
              <w:rPr>
                <w:rFonts w:ascii="Times New Roman" w:cs="Times New Roman" w:eastAsia="Times New Roman" w:hAnsi="Times New Roman"/>
                <w:sz w:val="13"/>
                <w:szCs w:val="13"/>
                <w:color w:val="0000FF"/>
                <w:w w:val="84"/>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78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3"/>
                <w:szCs w:val="13"/>
                <w:color w:val="0000FF"/>
              </w:rPr>
              <w:t>18,606</w:t>
            </w:r>
          </w:p>
        </w:tc>
        <w:tc>
          <w:tcPr>
            <w:tcW w:w="4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06/15/2026</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0"/>
                <w:szCs w:val="10"/>
                <w:color w:val="0000FF"/>
              </w:rPr>
              <w:t>F</w:t>
            </w:r>
          </w:p>
        </w:tc>
        <w:tc>
          <w:tcPr>
            <w:tcW w:w="4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gridSpan w:val="2"/>
          </w:tcPr>
          <w:p>
            <w:pPr>
              <w:jc w:val="center"/>
              <w:ind w:left="207"/>
              <w:spacing w:after="0"/>
              <w:rPr>
                <w:sz w:val="20"/>
                <w:szCs w:val="20"/>
                <w:color w:val="auto"/>
              </w:rPr>
            </w:pPr>
            <w:r>
              <w:rPr>
                <w:rFonts w:ascii="Times New Roman" w:cs="Times New Roman" w:eastAsia="Times New Roman" w:hAnsi="Times New Roman"/>
                <w:sz w:val="13"/>
                <w:szCs w:val="13"/>
                <w:color w:val="0000FF"/>
              </w:rPr>
              <w:t>4,435</w:t>
            </w:r>
          </w:p>
        </w:tc>
        <w:tc>
          <w:tcPr>
            <w:tcW w:w="740" w:type="dxa"/>
            <w:vAlign w:val="bottom"/>
            <w:tcBorders>
              <w:bottom w:val="single" w:sz="8" w:color="2C2C2C"/>
            </w:tcBorders>
          </w:tcPr>
          <w:p>
            <w:pPr>
              <w:jc w:val="center"/>
              <w:ind w:left="161"/>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6"/>
              </w:rPr>
              <w:t>$</w:t>
            </w:r>
            <w:r>
              <w:rPr>
                <w:rFonts w:ascii="Times New Roman" w:cs="Times New Roman" w:eastAsia="Times New Roman" w:hAnsi="Times New Roman"/>
                <w:sz w:val="13"/>
                <w:szCs w:val="13"/>
                <w:color w:val="0000FF"/>
                <w:w w:val="96"/>
              </w:rPr>
              <w:t>872.39</w:t>
            </w:r>
            <w:r>
              <w:rPr>
                <w:rFonts w:ascii="Times New Roman" w:cs="Times New Roman" w:eastAsia="Times New Roman" w:hAnsi="Times New Roman"/>
                <w:sz w:val="17"/>
                <w:szCs w:val="17"/>
                <w:color w:val="008000"/>
                <w:w w:val="96"/>
                <w:vertAlign w:val="superscript"/>
              </w:rPr>
              <w:t>(2)</w:t>
            </w:r>
          </w:p>
        </w:tc>
        <w:tc>
          <w:tcPr>
            <w:tcW w:w="78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3"/>
                <w:szCs w:val="13"/>
                <w:color w:val="0000FF"/>
              </w:rPr>
              <w:t>14,171</w:t>
            </w:r>
          </w:p>
        </w:tc>
        <w:tc>
          <w:tcPr>
            <w:tcW w:w="4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Voting and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vMerge w:val="restart"/>
          </w:tcPr>
          <w:p>
            <w:pPr>
              <w:jc w:val="center"/>
              <w:ind w:left="305"/>
              <w:spacing w:after="0"/>
              <w:rPr>
                <w:sz w:val="20"/>
                <w:szCs w:val="20"/>
                <w:color w:val="auto"/>
              </w:rPr>
            </w:pPr>
            <w:r>
              <w:rPr>
                <w:rFonts w:ascii="Times New Roman" w:cs="Times New Roman" w:eastAsia="Times New Roman" w:hAnsi="Times New Roman"/>
                <w:sz w:val="13"/>
                <w:szCs w:val="13"/>
                <w:color w:val="0000FF"/>
                <w:w w:val="91"/>
              </w:rPr>
              <w:t>402</w:t>
            </w:r>
            <w:r>
              <w:rPr>
                <w:rFonts w:ascii="Times New Roman" w:cs="Times New Roman" w:eastAsia="Times New Roman" w:hAnsi="Times New Roman"/>
                <w:sz w:val="17"/>
                <w:szCs w:val="17"/>
                <w:color w:val="008000"/>
                <w:w w:val="91"/>
                <w:vertAlign w:val="superscript"/>
              </w:rPr>
              <w:t>(3)</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restart"/>
          </w:tcPr>
          <w:p>
            <w:pPr>
              <w:jc w:val="center"/>
              <w:ind w:right="264"/>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tender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rights under</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401k plan</w:t>
            </w: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440" w:type="dxa"/>
            <w:vAlign w:val="bottom"/>
            <w:tcBorders>
              <w:bottom w:val="single" w:sz="8" w:color="2C2C2C"/>
            </w:tcBorders>
            <w:gridSpan w:val="1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40" w:type="dxa"/>
            <w:vAlign w:val="bottom"/>
            <w:tcBorders>
              <w:top w:val="single" w:sz="8" w:color="2C2C2C"/>
            </w:tcBorders>
            <w:gridSpan w:val="12"/>
          </w:tcPr>
          <w:p>
            <w:pPr>
              <w:jc w:val="center"/>
              <w:ind w:left="126"/>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900" w:type="dxa"/>
            <w:vAlign w:val="bottom"/>
            <w:gridSpan w:val="10"/>
          </w:tcPr>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28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00" w:type="dxa"/>
            <w:vAlign w:val="bottom"/>
            <w:gridSpan w:val="3"/>
          </w:tcPr>
          <w:p>
            <w:pPr>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8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00" w:type="dxa"/>
            <w:vAlign w:val="bottom"/>
            <w:gridSpan w:val="3"/>
          </w:tcPr>
          <w:p>
            <w:pPr>
              <w:jc w:val="right"/>
              <w:ind w:right="10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jc w:val="center"/>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Securities</w:t>
            </w:r>
          </w:p>
        </w:tc>
        <w:tc>
          <w:tcPr>
            <w:tcW w:w="440" w:type="dxa"/>
            <w:vAlign w:val="bottom"/>
          </w:tcPr>
          <w:p>
            <w:pPr>
              <w:spacing w:after="0"/>
              <w:rPr>
                <w:sz w:val="9"/>
                <w:szCs w:val="9"/>
                <w:color w:val="auto"/>
              </w:rPr>
            </w:pPr>
          </w:p>
        </w:tc>
        <w:tc>
          <w:tcPr>
            <w:tcW w:w="128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40" w:type="dxa"/>
            <w:vAlign w:val="bottom"/>
            <w:gridSpan w:val="2"/>
          </w:tcPr>
          <w:p>
            <w:pPr>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2"/>
          </w:tcPr>
          <w:p>
            <w:pPr>
              <w:ind w:left="20"/>
              <w:spacing w:after="0"/>
              <w:rPr>
                <w:sz w:val="20"/>
                <w:szCs w:val="20"/>
                <w:color w:val="auto"/>
              </w:rPr>
            </w:pPr>
            <w:r>
              <w:rPr>
                <w:rFonts w:ascii="Arial" w:cs="Arial" w:eastAsia="Arial" w:hAnsi="Arial"/>
                <w:sz w:val="9"/>
                <w:szCs w:val="9"/>
                <w:b w:val="1"/>
                <w:bCs w:val="1"/>
                <w:color w:val="auto"/>
              </w:rPr>
              <w:t>Acquired (A) or</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2"/>
          </w:tcPr>
          <w:p>
            <w:pPr>
              <w:ind w:left="20"/>
              <w:spacing w:after="0"/>
              <w:rPr>
                <w:sz w:val="20"/>
                <w:szCs w:val="20"/>
                <w:color w:val="auto"/>
              </w:rPr>
            </w:pPr>
            <w:r>
              <w:rPr>
                <w:rFonts w:ascii="Arial" w:cs="Arial" w:eastAsia="Arial" w:hAnsi="Arial"/>
                <w:sz w:val="9"/>
                <w:szCs w:val="9"/>
                <w:b w:val="1"/>
                <w:bCs w:val="1"/>
                <w:color w:val="auto"/>
              </w:rPr>
              <w:t>Disposed of (D)</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2"/>
          </w:tcPr>
          <w:p>
            <w:pPr>
              <w:ind w:left="20"/>
              <w:spacing w:after="0"/>
              <w:rPr>
                <w:sz w:val="20"/>
                <w:szCs w:val="20"/>
                <w:color w:val="auto"/>
              </w:rPr>
            </w:pPr>
            <w:r>
              <w:rPr>
                <w:rFonts w:ascii="Arial" w:cs="Arial" w:eastAsia="Arial" w:hAnsi="Arial"/>
                <w:sz w:val="9"/>
                <w:szCs w:val="9"/>
                <w:b w:val="1"/>
                <w:bCs w:val="1"/>
                <w:color w:val="auto"/>
              </w:rPr>
              <w:t>(Instr. 3, 4 and 5)</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ind w:left="80"/>
              <w:spacing w:after="0"/>
              <w:rPr>
                <w:sz w:val="20"/>
                <w:szCs w:val="20"/>
                <w:color w:val="auto"/>
              </w:rPr>
            </w:pPr>
            <w:r>
              <w:rPr>
                <w:rFonts w:ascii="Arial" w:cs="Arial" w:eastAsia="Arial" w:hAnsi="Arial"/>
                <w:sz w:val="9"/>
                <w:szCs w:val="9"/>
                <w:b w:val="1"/>
                <w:bCs w:val="1"/>
                <w:color w:val="auto"/>
                <w:w w:val="92"/>
              </w:rPr>
              <w:t>Date</w:t>
            </w:r>
          </w:p>
        </w:tc>
        <w:tc>
          <w:tcPr>
            <w:tcW w:w="420" w:type="dxa"/>
            <w:vAlign w:val="bottom"/>
          </w:tcPr>
          <w:p>
            <w:pPr>
              <w:spacing w:after="0"/>
              <w:rPr>
                <w:sz w:val="9"/>
                <w:szCs w:val="9"/>
                <w:color w:val="auto"/>
              </w:rPr>
            </w:pPr>
          </w:p>
        </w:tc>
        <w:tc>
          <w:tcPr>
            <w:tcW w:w="580" w:type="dxa"/>
            <w:vAlign w:val="bottom"/>
          </w:tcPr>
          <w:p>
            <w:pPr>
              <w:jc w:val="center"/>
              <w:ind w:right="67"/>
              <w:spacing w:after="0"/>
              <w:rPr>
                <w:sz w:val="20"/>
                <w:szCs w:val="20"/>
                <w:color w:val="auto"/>
              </w:rPr>
            </w:pPr>
            <w:r>
              <w:rPr>
                <w:rFonts w:ascii="Arial" w:cs="Arial" w:eastAsia="Arial" w:hAnsi="Arial"/>
                <w:sz w:val="9"/>
                <w:szCs w:val="9"/>
                <w:b w:val="1"/>
                <w:bCs w:val="1"/>
                <w:color w:val="auto"/>
              </w:rPr>
              <w:t>Expiration</w:t>
            </w: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jc w:val="right"/>
              <w:ind w:right="229"/>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80" w:type="dxa"/>
            <w:vAlign w:val="bottom"/>
          </w:tcPr>
          <w:p>
            <w:pPr>
              <w:spacing w:after="0"/>
              <w:rPr>
                <w:sz w:val="20"/>
                <w:szCs w:val="20"/>
                <w:color w:val="auto"/>
              </w:rPr>
            </w:pPr>
            <w:r>
              <w:rPr>
                <w:rFonts w:ascii="Arial" w:cs="Arial" w:eastAsia="Arial" w:hAnsi="Arial"/>
                <w:sz w:val="9"/>
                <w:szCs w:val="9"/>
                <w:b w:val="1"/>
                <w:bCs w:val="1"/>
                <w:color w:val="auto"/>
              </w:rPr>
              <w:t>Date</w:t>
            </w:r>
          </w:p>
        </w:tc>
        <w:tc>
          <w:tcPr>
            <w:tcW w:w="840" w:type="dxa"/>
            <w:vAlign w:val="bottom"/>
            <w:gridSpan w:val="2"/>
          </w:tcPr>
          <w:p>
            <w:pPr>
              <w:spacing w:after="0"/>
              <w:rPr>
                <w:sz w:val="20"/>
                <w:szCs w:val="20"/>
                <w:color w:val="auto"/>
              </w:rPr>
            </w:pPr>
            <w:r>
              <w:rPr>
                <w:rFonts w:ascii="Arial" w:cs="Arial" w:eastAsia="Arial" w:hAnsi="Arial"/>
                <w:sz w:val="9"/>
                <w:szCs w:val="9"/>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(4)</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06/15/2026</w:t>
            </w:r>
          </w:p>
        </w:tc>
        <w:tc>
          <w:tcPr>
            <w:tcW w:w="880" w:type="dxa"/>
            <w:vAlign w:val="bottom"/>
          </w:tcPr>
          <w:p>
            <w:pPr>
              <w:spacing w:after="0"/>
              <w:rPr>
                <w:sz w:val="17"/>
                <w:szCs w:val="17"/>
                <w:color w:val="auto"/>
              </w:rPr>
            </w:pP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80" w:type="dxa"/>
            <w:vAlign w:val="bottom"/>
          </w:tcPr>
          <w:p>
            <w:pPr>
              <w:spacing w:after="0"/>
              <w:rPr>
                <w:sz w:val="17"/>
                <w:szCs w:val="17"/>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0000FF"/>
              </w:rPr>
              <w:t>411</w:t>
            </w:r>
          </w:p>
        </w:tc>
        <w:tc>
          <w:tcPr>
            <w:tcW w:w="280" w:type="dxa"/>
            <w:vAlign w:val="bottom"/>
          </w:tcPr>
          <w:p>
            <w:pPr>
              <w:spacing w:after="0"/>
              <w:rPr>
                <w:sz w:val="17"/>
                <w:szCs w:val="17"/>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9"/>
                <w:szCs w:val="9"/>
                <w:color w:val="008000"/>
                <w:w w:val="75"/>
              </w:rPr>
              <w:t>(5)</w:t>
            </w:r>
          </w:p>
        </w:tc>
        <w:tc>
          <w:tcPr>
            <w:tcW w:w="580" w:type="dxa"/>
            <w:vAlign w:val="bottom"/>
          </w:tcPr>
          <w:p>
            <w:pPr>
              <w:jc w:val="center"/>
              <w:ind w:right="67"/>
              <w:spacing w:after="0"/>
              <w:rPr>
                <w:sz w:val="20"/>
                <w:szCs w:val="20"/>
                <w:color w:val="auto"/>
              </w:rPr>
            </w:pPr>
            <w:r>
              <w:rPr>
                <w:rFonts w:ascii="Times New Roman" w:cs="Times New Roman" w:eastAsia="Times New Roman" w:hAnsi="Times New Roman"/>
                <w:sz w:val="9"/>
                <w:szCs w:val="9"/>
                <w:color w:val="008000"/>
                <w:w w:val="94"/>
              </w:rPr>
              <w:t>(5)</w:t>
            </w:r>
          </w:p>
        </w:tc>
        <w:tc>
          <w:tcPr>
            <w:tcW w:w="10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0"/>
                <w:szCs w:val="10"/>
                <w:color w:val="0000FF"/>
              </w:rPr>
              <w:t>Common Stock</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411</w:t>
            </w:r>
          </w:p>
        </w:tc>
        <w:tc>
          <w:tcPr>
            <w:tcW w:w="780" w:type="dxa"/>
            <w:vAlign w:val="bottom"/>
            <w:gridSpan w:val="2"/>
          </w:tcPr>
          <w:p>
            <w:pPr>
              <w:ind w:left="38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2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0000FF"/>
              </w:rPr>
              <w:t>0</w:t>
            </w:r>
          </w:p>
        </w:tc>
        <w:tc>
          <w:tcPr>
            <w:tcW w:w="28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(4)</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06/15/2026</w:t>
            </w:r>
          </w:p>
        </w:tc>
        <w:tc>
          <w:tcPr>
            <w:tcW w:w="880" w:type="dxa"/>
            <w:vAlign w:val="bottom"/>
          </w:tcPr>
          <w:p>
            <w:pPr>
              <w:spacing w:after="0"/>
              <w:rPr>
                <w:sz w:val="17"/>
                <w:szCs w:val="17"/>
                <w:color w:val="auto"/>
              </w:rPr>
            </w:pP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80" w:type="dxa"/>
            <w:vAlign w:val="bottom"/>
          </w:tcPr>
          <w:p>
            <w:pPr>
              <w:spacing w:after="0"/>
              <w:rPr>
                <w:sz w:val="17"/>
                <w:szCs w:val="17"/>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0000FF"/>
              </w:rPr>
              <w:t>297</w:t>
            </w:r>
          </w:p>
        </w:tc>
        <w:tc>
          <w:tcPr>
            <w:tcW w:w="280" w:type="dxa"/>
            <w:vAlign w:val="bottom"/>
          </w:tcPr>
          <w:p>
            <w:pPr>
              <w:spacing w:after="0"/>
              <w:rPr>
                <w:sz w:val="17"/>
                <w:szCs w:val="17"/>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9"/>
                <w:szCs w:val="9"/>
                <w:color w:val="008000"/>
                <w:w w:val="75"/>
              </w:rPr>
              <w:t>(6)</w:t>
            </w:r>
          </w:p>
        </w:tc>
        <w:tc>
          <w:tcPr>
            <w:tcW w:w="580" w:type="dxa"/>
            <w:vAlign w:val="bottom"/>
          </w:tcPr>
          <w:p>
            <w:pPr>
              <w:jc w:val="center"/>
              <w:ind w:right="67"/>
              <w:spacing w:after="0"/>
              <w:rPr>
                <w:sz w:val="20"/>
                <w:szCs w:val="20"/>
                <w:color w:val="auto"/>
              </w:rPr>
            </w:pPr>
            <w:r>
              <w:rPr>
                <w:rFonts w:ascii="Times New Roman" w:cs="Times New Roman" w:eastAsia="Times New Roman" w:hAnsi="Times New Roman"/>
                <w:sz w:val="9"/>
                <w:szCs w:val="9"/>
                <w:color w:val="008000"/>
                <w:w w:val="94"/>
              </w:rPr>
              <w:t>(6)</w:t>
            </w:r>
          </w:p>
        </w:tc>
        <w:tc>
          <w:tcPr>
            <w:tcW w:w="10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0"/>
                <w:szCs w:val="10"/>
                <w:color w:val="0000FF"/>
              </w:rPr>
              <w:t>Common Stock</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297</w:t>
            </w:r>
          </w:p>
        </w:tc>
        <w:tc>
          <w:tcPr>
            <w:tcW w:w="780" w:type="dxa"/>
            <w:vAlign w:val="bottom"/>
            <w:gridSpan w:val="2"/>
          </w:tcPr>
          <w:p>
            <w:pPr>
              <w:ind w:left="38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2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0000FF"/>
              </w:rPr>
              <w:t>296</w:t>
            </w:r>
          </w:p>
        </w:tc>
        <w:tc>
          <w:tcPr>
            <w:tcW w:w="28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(4)</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06/15/2026</w:t>
            </w:r>
          </w:p>
        </w:tc>
        <w:tc>
          <w:tcPr>
            <w:tcW w:w="880" w:type="dxa"/>
            <w:vAlign w:val="bottom"/>
          </w:tcPr>
          <w:p>
            <w:pPr>
              <w:spacing w:after="0"/>
              <w:rPr>
                <w:sz w:val="17"/>
                <w:szCs w:val="17"/>
                <w:color w:val="auto"/>
              </w:rPr>
            </w:pP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80" w:type="dxa"/>
            <w:vAlign w:val="bottom"/>
          </w:tcPr>
          <w:p>
            <w:pPr>
              <w:spacing w:after="0"/>
              <w:rPr>
                <w:sz w:val="17"/>
                <w:szCs w:val="17"/>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0000FF"/>
              </w:rPr>
              <w:t>318</w:t>
            </w:r>
          </w:p>
        </w:tc>
        <w:tc>
          <w:tcPr>
            <w:tcW w:w="280" w:type="dxa"/>
            <w:vAlign w:val="bottom"/>
          </w:tcPr>
          <w:p>
            <w:pPr>
              <w:spacing w:after="0"/>
              <w:rPr>
                <w:sz w:val="17"/>
                <w:szCs w:val="17"/>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9"/>
                <w:szCs w:val="9"/>
                <w:color w:val="008000"/>
                <w:w w:val="75"/>
              </w:rPr>
              <w:t>(7)</w:t>
            </w:r>
          </w:p>
        </w:tc>
        <w:tc>
          <w:tcPr>
            <w:tcW w:w="580" w:type="dxa"/>
            <w:vAlign w:val="bottom"/>
          </w:tcPr>
          <w:p>
            <w:pPr>
              <w:jc w:val="center"/>
              <w:ind w:right="67"/>
              <w:spacing w:after="0"/>
              <w:rPr>
                <w:sz w:val="20"/>
                <w:szCs w:val="20"/>
                <w:color w:val="auto"/>
              </w:rPr>
            </w:pPr>
            <w:r>
              <w:rPr>
                <w:rFonts w:ascii="Times New Roman" w:cs="Times New Roman" w:eastAsia="Times New Roman" w:hAnsi="Times New Roman"/>
                <w:sz w:val="9"/>
                <w:szCs w:val="9"/>
                <w:color w:val="008000"/>
                <w:w w:val="94"/>
              </w:rPr>
              <w:t>(7)</w:t>
            </w:r>
          </w:p>
        </w:tc>
        <w:tc>
          <w:tcPr>
            <w:tcW w:w="10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0"/>
                <w:szCs w:val="10"/>
                <w:color w:val="0000FF"/>
              </w:rPr>
              <w:t>Common Stock</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318</w:t>
            </w:r>
          </w:p>
        </w:tc>
        <w:tc>
          <w:tcPr>
            <w:tcW w:w="780" w:type="dxa"/>
            <w:vAlign w:val="bottom"/>
            <w:gridSpan w:val="2"/>
          </w:tcPr>
          <w:p>
            <w:pPr>
              <w:ind w:left="38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2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0000FF"/>
              </w:rPr>
              <w:t>638</w:t>
            </w:r>
          </w:p>
        </w:tc>
        <w:tc>
          <w:tcPr>
            <w:tcW w:w="28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(4)</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9"/>
                <w:szCs w:val="9"/>
                <w:color w:val="008000"/>
                <w:w w:val="75"/>
              </w:rPr>
              <w:t>(8)</w:t>
            </w:r>
          </w:p>
        </w:tc>
        <w:tc>
          <w:tcPr>
            <w:tcW w:w="580" w:type="dxa"/>
            <w:vAlign w:val="bottom"/>
          </w:tcPr>
          <w:p>
            <w:pPr>
              <w:jc w:val="center"/>
              <w:ind w:right="67"/>
              <w:spacing w:after="0"/>
              <w:rPr>
                <w:sz w:val="20"/>
                <w:szCs w:val="20"/>
                <w:color w:val="auto"/>
              </w:rPr>
            </w:pPr>
            <w:r>
              <w:rPr>
                <w:rFonts w:ascii="Times New Roman" w:cs="Times New Roman" w:eastAsia="Times New Roman" w:hAnsi="Times New Roman"/>
                <w:sz w:val="9"/>
                <w:szCs w:val="9"/>
                <w:color w:val="008000"/>
                <w:w w:val="94"/>
              </w:rPr>
              <w:t>(8)</w:t>
            </w:r>
          </w:p>
        </w:tc>
        <w:tc>
          <w:tcPr>
            <w:tcW w:w="10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0"/>
                <w:szCs w:val="10"/>
                <w:color w:val="0000FF"/>
              </w:rPr>
              <w:t>Common Stock</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737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0000FF"/>
              </w:rPr>
              <w:t>737</w:t>
            </w:r>
          </w:p>
        </w:tc>
        <w:tc>
          <w:tcPr>
            <w:tcW w:w="28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Represents the number of shares of Common Stock earned upon the vesting of performance-based restricted stock units under Casey's 2024 fiscal year long-term incentive compensation program.</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Closing price of Casey's General Stores, Inc. Common Stock on June 15, 2026.</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Allocated to 401k plan account as of April 30, 2026. Does not include any shares allocated by the plan trustee after that date.</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represents the right to receive, following vesting, one share of Common Stock.</w:t>
      </w:r>
    </w:p>
    <w:p>
      <w:pPr>
        <w:spacing w:after="0" w:line="40" w:lineRule="exact"/>
        <w:rPr>
          <w:rFonts w:ascii="Times New Roman" w:cs="Times New Roman" w:eastAsia="Times New Roman" w:hAnsi="Times New Roman"/>
          <w:sz w:val="10"/>
          <w:szCs w:val="10"/>
          <w:color w:val="008000"/>
        </w:rPr>
      </w:pPr>
    </w:p>
    <w:p>
      <w:pPr>
        <w:ind w:left="40" w:right="10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Pursuant to terms and conditions of 2018 Stock Incentive Plan. This award vested on June 15, 2026. Not included in the reported award amount is a target amount of performance-based restricted stock units that vested on June 15, 2026, but which are subject to the satisfaction of certain performance criteria other than solely the price of Casey's Common Stock; the final amount of shares earned is reflected above.</w:t>
      </w:r>
    </w:p>
    <w:p>
      <w:pPr>
        <w:spacing w:after="0" w:line="3" w:lineRule="exact"/>
        <w:rPr>
          <w:rFonts w:ascii="Times New Roman" w:cs="Times New Roman" w:eastAsia="Times New Roman" w:hAnsi="Times New Roman"/>
          <w:sz w:val="10"/>
          <w:szCs w:val="10"/>
          <w:color w:val="008000"/>
        </w:rPr>
      </w:pPr>
    </w:p>
    <w:p>
      <w:pPr>
        <w:ind w:left="40" w:right="18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Pursuant to the terms and conditions of the 2018 Stock Incentive Plan. The remainder of this award will vest on June 15, 2027. Not included in the reported award amount is a target amount of performance-based restricted stock units that will vest on June 15, 2027, but which are subject to the satisfaction of certain performance criteria other than solely the price of Casey's Common Stock; the final amount of shares earned, if any, will be reported upon vest and satisfaction of those performance measures.</w:t>
      </w:r>
    </w:p>
    <w:p>
      <w:pPr>
        <w:spacing w:after="0" w:line="3" w:lineRule="exact"/>
        <w:rPr>
          <w:rFonts w:ascii="Times New Roman" w:cs="Times New Roman" w:eastAsia="Times New Roman" w:hAnsi="Times New Roman"/>
          <w:sz w:val="10"/>
          <w:szCs w:val="10"/>
          <w:color w:val="008000"/>
        </w:rPr>
      </w:pPr>
    </w:p>
    <w:p>
      <w:pPr>
        <w:ind w:left="40" w:right="100" w:hanging="6"/>
        <w:spacing w:after="0" w:line="25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Pursuant to the terms and conditions of the 2018 Stock Incentive Plan. The remainder of this award will vest in equal installments on June 15, 2027, and June 15, 2028. Not included in the reported award amount is a target amount of performance-based restricted stock units that will vest on June 15, 2028, but which are subject to the satisfaction of certain performance criteria other than solely the price of Casey's Common Stock; the final amount of shares earned, if any, will be reported upon vest and satisfaction of those performance measures.</w:t>
      </w:r>
    </w:p>
    <w:p>
      <w:pPr>
        <w:spacing w:after="0" w:line="12" w:lineRule="exact"/>
        <w:rPr>
          <w:rFonts w:ascii="Times New Roman" w:cs="Times New Roman" w:eastAsia="Times New Roman" w:hAnsi="Times New Roman"/>
          <w:sz w:val="10"/>
          <w:szCs w:val="10"/>
          <w:color w:val="008000"/>
        </w:rPr>
      </w:pPr>
    </w:p>
    <w:p>
      <w:pPr>
        <w:ind w:left="40" w:right="160" w:hanging="6"/>
        <w:spacing w:after="0" w:line="25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Pursuant to terms and conditions of the 2025 Stock Incentive Plan. This award will vest in equal installments on June 15, 2027, June 15, 2028, and June 15, 2029. Not included in the reported award amount is a target amount of performance-based restricted stock units that will vest on June 15, 2029, but which are subject to the satisfaction of certain performance criteria other than solely the price of Casey's Common Stock; the final amount of shares earned, if any, will be reported upon vest and satisfaction of those performance measures.</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 24- Power of Attorney</w:t>
      </w:r>
    </w:p>
    <w:p>
      <w:pPr>
        <w:spacing w:after="0" w:line="57"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Erika Bertrand, under Power of</w:t>
            </w: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06/15/2026</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6580" w:type="dxa"/>
            <w:vAlign w:val="bottom"/>
          </w:tcPr>
          <w:p>
            <w:pPr>
              <w:spacing w:after="0"/>
              <w:rPr>
                <w:sz w:val="5"/>
                <w:szCs w:val="5"/>
                <w:color w:val="auto"/>
              </w:rPr>
            </w:pPr>
          </w:p>
        </w:tc>
        <w:tc>
          <w:tcPr>
            <w:tcW w:w="2040" w:type="dxa"/>
            <w:vAlign w:val="bottom"/>
            <w:gridSpan w:val="3"/>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Attorney dated December 12, 2025</w:t>
            </w: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188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160" w:type="dxa"/>
            <w:vAlign w:val="bottom"/>
          </w:tcPr>
          <w:p>
            <w:pPr>
              <w:spacing w:after="0"/>
              <w:rPr>
                <w:sz w:val="15"/>
                <w:szCs w:val="15"/>
                <w:color w:val="auto"/>
              </w:rPr>
            </w:pPr>
          </w:p>
        </w:tc>
        <w:tc>
          <w:tcPr>
            <w:tcW w:w="780" w:type="dxa"/>
            <w:vAlign w:val="bottom"/>
            <w:gridSpan w:val="2"/>
          </w:tcPr>
          <w:p>
            <w:pPr>
              <w:ind w:left="1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6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6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1716" TargetMode="External"/><Relationship Id="rId14" Type="http://schemas.openxmlformats.org/officeDocument/2006/relationships/hyperlink" Target="http://www.sec.gov/cgi-bin/browse-edgar?action=getcompany&amp;CIK=00007269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2026-06-17T15:20:43Z</dcterms:created>
  <dcterms:modified xsi:type="dcterms:W3CDTF">2026-06-17T15:20:43Z</dcterms:modified>
</cp:coreProperties>
</file>