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4920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492061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2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Koschel Williams Ena</w:t>
              </w:r>
            </w:hyperlink>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CASEYS GENERAL STORES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CASY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320" w:type="dxa"/>
            <w:vAlign w:val="bottom"/>
            <w:tcBorders>
              <w:top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740" w:type="dxa"/>
            <w:vAlign w:val="bottom"/>
            <w:tcBorders>
              <w:top w:val="single" w:sz="8" w:color="0000EE"/>
              <w:bottom w:val="single" w:sz="8" w:color="9A9A9A"/>
            </w:tcBorders>
          </w:tcPr>
          <w:p>
            <w:pPr>
              <w:spacing w:after="0"/>
              <w:rPr>
                <w:sz w:val="10"/>
                <w:szCs w:val="10"/>
                <w:color w:val="auto"/>
              </w:rPr>
            </w:pPr>
          </w:p>
        </w:tc>
        <w:tc>
          <w:tcPr>
            <w:tcW w:w="740" w:type="dxa"/>
            <w:vAlign w:val="bottom"/>
            <w:tcBorders>
              <w:top w:val="single" w:sz="8" w:color="0000EE"/>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4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480" w:type="dxa"/>
            <w:vAlign w:val="bottom"/>
            <w:gridSpan w:val="2"/>
            <w:vMerge w:val="restart"/>
          </w:tcPr>
          <w:p>
            <w:pPr>
              <w:ind w:left="480"/>
              <w:spacing w:after="0"/>
              <w:rPr>
                <w:sz w:val="20"/>
                <w:szCs w:val="20"/>
                <w:color w:val="auto"/>
              </w:rPr>
            </w:pPr>
            <w:r>
              <w:rPr>
                <w:rFonts w:ascii="Arial" w:cs="Arial" w:eastAsia="Arial" w:hAnsi="Arial"/>
                <w:sz w:val="10"/>
                <w:szCs w:val="10"/>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ONE SE CONVENIENCE BLVD.</w:t>
            </w:r>
          </w:p>
        </w:tc>
        <w:tc>
          <w:tcPr>
            <w:tcW w:w="1460" w:type="dxa"/>
            <w:vAlign w:val="bottom"/>
          </w:tcPr>
          <w:p>
            <w:pPr>
              <w:spacing w:after="0"/>
              <w:rPr>
                <w:sz w:val="18"/>
                <w:szCs w:val="18"/>
                <w:color w:val="auto"/>
              </w:rPr>
            </w:pPr>
          </w:p>
        </w:tc>
        <w:tc>
          <w:tcPr>
            <w:tcW w:w="256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0000FF"/>
              </w:rPr>
              <w:t>06/15/2026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70"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3"/>
          <w:szCs w:val="13"/>
          <w:color w:val="0000FF"/>
        </w:rPr>
        <w:t>Chief Operating Officer</w:t>
      </w:r>
    </w:p>
    <w:p>
      <w:pPr>
        <w:spacing w:after="0" w:line="328"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80" w:type="dxa"/>
            <w:vAlign w:val="bottom"/>
            <w:tcBorders>
              <w:top w:val="single" w:sz="8" w:color="2C2C2C"/>
            </w:tcBorders>
            <w:gridSpan w:val="6"/>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28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3520" w:type="dxa"/>
            <w:vAlign w:val="bottom"/>
            <w:tcBorders>
              <w:top w:val="single" w:sz="8" w:color="2C2C2C"/>
            </w:tcBorders>
            <w:gridSpan w:val="7"/>
            <w:vMerge w:val="restart"/>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ANKENY</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IA</w:t>
            </w:r>
          </w:p>
        </w:tc>
        <w:tc>
          <w:tcPr>
            <w:tcW w:w="17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color w:val="0000FF"/>
              </w:rPr>
              <w:t>50021</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80" w:type="dxa"/>
            <w:vAlign w:val="bottom"/>
            <w:gridSpan w:val="6"/>
            <w:vMerge w:val="continue"/>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520" w:type="dxa"/>
            <w:vAlign w:val="bottom"/>
            <w:gridSpan w:val="7"/>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720" w:type="dxa"/>
            <w:vAlign w:val="bottom"/>
            <w:vMerge w:val="restart"/>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vMerge w:val="restart"/>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7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8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5440" w:type="dxa"/>
            <w:vAlign w:val="bottom"/>
            <w:tcBorders>
              <w:top w:val="single" w:sz="8" w:color="2C2C2C"/>
            </w:tcBorders>
            <w:gridSpan w:val="12"/>
          </w:tcPr>
          <w:p>
            <w:pPr>
              <w:jc w:val="right"/>
              <w:ind w:right="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10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100" w:type="dxa"/>
            <w:vAlign w:val="bottom"/>
            <w:gridSpan w:val="4"/>
          </w:tcPr>
          <w:p>
            <w:pPr>
              <w:jc w:val="center"/>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jc w:val="center"/>
              <w:spacing w:after="0"/>
              <w:rPr>
                <w:sz w:val="20"/>
                <w:szCs w:val="20"/>
                <w:color w:val="auto"/>
              </w:rPr>
            </w:pPr>
            <w:r>
              <w:rPr>
                <w:rFonts w:ascii="Arial" w:cs="Arial" w:eastAsia="Arial" w:hAnsi="Arial"/>
                <w:sz w:val="9"/>
                <w:szCs w:val="9"/>
                <w:b w:val="1"/>
                <w:bCs w:val="1"/>
                <w:color w:val="auto"/>
              </w:rPr>
              <w:t>Code (Instr. 8)</w:t>
            </w:r>
          </w:p>
        </w:tc>
        <w:tc>
          <w:tcPr>
            <w:tcW w:w="144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4"/>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4"/>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00" w:type="dxa"/>
            <w:vAlign w:val="bottom"/>
            <w:vMerge w:val="restart"/>
          </w:tcPr>
          <w:p>
            <w:pPr>
              <w:ind w:left="6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vMerge w:val="restart"/>
          </w:tcPr>
          <w:p>
            <w:pPr>
              <w:ind w:left="200"/>
              <w:spacing w:after="0"/>
              <w:rPr>
                <w:sz w:val="20"/>
                <w:szCs w:val="20"/>
                <w:color w:val="auto"/>
              </w:rPr>
            </w:pPr>
            <w:r>
              <w:rPr>
                <w:rFonts w:ascii="Arial" w:cs="Arial" w:eastAsia="Arial" w:hAnsi="Arial"/>
                <w:sz w:val="9"/>
                <w:szCs w:val="9"/>
                <w:b w:val="1"/>
                <w:bCs w:val="1"/>
                <w:color w:val="auto"/>
              </w:rPr>
              <w:t>V</w:t>
            </w:r>
          </w:p>
        </w:tc>
        <w:tc>
          <w:tcPr>
            <w:tcW w:w="6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28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jc w:val="right"/>
              <w:ind w:right="32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jc w:val="center"/>
              <w:ind w:left="111"/>
              <w:spacing w:after="0"/>
              <w:rPr>
                <w:sz w:val="20"/>
                <w:szCs w:val="20"/>
                <w:color w:val="auto"/>
              </w:rPr>
            </w:pPr>
            <w:r>
              <w:rPr>
                <w:rFonts w:ascii="Times New Roman" w:cs="Times New Roman" w:eastAsia="Times New Roman" w:hAnsi="Times New Roman"/>
                <w:sz w:val="10"/>
                <w:szCs w:val="10"/>
                <w:color w:val="0000FF"/>
              </w:rPr>
              <w:t>M</w:t>
            </w:r>
          </w:p>
        </w:tc>
        <w:tc>
          <w:tcPr>
            <w:tcW w:w="400" w:type="dxa"/>
            <w:vAlign w:val="bottom"/>
          </w:tcPr>
          <w:p>
            <w:pPr>
              <w:spacing w:after="0"/>
              <w:rPr>
                <w:sz w:val="18"/>
                <w:szCs w:val="18"/>
                <w:color w:val="auto"/>
              </w:rPr>
            </w:pPr>
          </w:p>
        </w:tc>
        <w:tc>
          <w:tcPr>
            <w:tcW w:w="600" w:type="dxa"/>
            <w:vAlign w:val="bottom"/>
          </w:tcPr>
          <w:p>
            <w:pPr>
              <w:jc w:val="center"/>
              <w:ind w:left="327"/>
              <w:spacing w:after="0"/>
              <w:rPr>
                <w:sz w:val="20"/>
                <w:szCs w:val="20"/>
                <w:color w:val="auto"/>
              </w:rPr>
            </w:pPr>
            <w:r>
              <w:rPr>
                <w:rFonts w:ascii="Times New Roman" w:cs="Times New Roman" w:eastAsia="Times New Roman" w:hAnsi="Times New Roman"/>
                <w:sz w:val="13"/>
                <w:szCs w:val="13"/>
                <w:color w:val="0000FF"/>
              </w:rPr>
              <w:t>676</w:t>
            </w:r>
          </w:p>
        </w:tc>
        <w:tc>
          <w:tcPr>
            <w:tcW w:w="2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gridSpan w:val="2"/>
          </w:tcPr>
          <w:p>
            <w:pPr>
              <w:jc w:val="center"/>
              <w:ind w:left="325"/>
              <w:spacing w:after="0"/>
              <w:rPr>
                <w:sz w:val="20"/>
                <w:szCs w:val="20"/>
                <w:color w:val="auto"/>
              </w:rPr>
            </w:pPr>
            <w:r>
              <w:rPr>
                <w:rFonts w:ascii="Times New Roman" w:cs="Times New Roman" w:eastAsia="Times New Roman" w:hAnsi="Times New Roman"/>
                <w:sz w:val="13"/>
                <w:szCs w:val="13"/>
                <w:color w:val="0000FF"/>
              </w:rPr>
              <w:t>18,735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center"/>
              <w:ind w:right="284"/>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jc w:val="center"/>
              <w:ind w:left="111"/>
              <w:spacing w:after="0"/>
              <w:rPr>
                <w:sz w:val="20"/>
                <w:szCs w:val="20"/>
                <w:color w:val="auto"/>
              </w:rPr>
            </w:pPr>
            <w:r>
              <w:rPr>
                <w:rFonts w:ascii="Times New Roman" w:cs="Times New Roman" w:eastAsia="Times New Roman" w:hAnsi="Times New Roman"/>
                <w:sz w:val="10"/>
                <w:szCs w:val="10"/>
                <w:color w:val="0000FF"/>
              </w:rPr>
              <w:t>M</w:t>
            </w:r>
          </w:p>
        </w:tc>
        <w:tc>
          <w:tcPr>
            <w:tcW w:w="400" w:type="dxa"/>
            <w:vAlign w:val="bottom"/>
          </w:tcPr>
          <w:p>
            <w:pPr>
              <w:spacing w:after="0"/>
              <w:rPr>
                <w:sz w:val="18"/>
                <w:szCs w:val="18"/>
                <w:color w:val="auto"/>
              </w:rPr>
            </w:pPr>
          </w:p>
        </w:tc>
        <w:tc>
          <w:tcPr>
            <w:tcW w:w="600" w:type="dxa"/>
            <w:vAlign w:val="bottom"/>
          </w:tcPr>
          <w:p>
            <w:pPr>
              <w:jc w:val="center"/>
              <w:ind w:left="327"/>
              <w:spacing w:after="0"/>
              <w:rPr>
                <w:sz w:val="20"/>
                <w:szCs w:val="20"/>
                <w:color w:val="auto"/>
              </w:rPr>
            </w:pPr>
            <w:r>
              <w:rPr>
                <w:rFonts w:ascii="Times New Roman" w:cs="Times New Roman" w:eastAsia="Times New Roman" w:hAnsi="Times New Roman"/>
                <w:sz w:val="13"/>
                <w:szCs w:val="13"/>
                <w:color w:val="0000FF"/>
              </w:rPr>
              <w:t>536</w:t>
            </w:r>
          </w:p>
        </w:tc>
        <w:tc>
          <w:tcPr>
            <w:tcW w:w="2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gridSpan w:val="2"/>
          </w:tcPr>
          <w:p>
            <w:pPr>
              <w:jc w:val="center"/>
              <w:ind w:left="325"/>
              <w:spacing w:after="0"/>
              <w:rPr>
                <w:sz w:val="20"/>
                <w:szCs w:val="20"/>
                <w:color w:val="auto"/>
              </w:rPr>
            </w:pPr>
            <w:r>
              <w:rPr>
                <w:rFonts w:ascii="Times New Roman" w:cs="Times New Roman" w:eastAsia="Times New Roman" w:hAnsi="Times New Roman"/>
                <w:sz w:val="13"/>
                <w:szCs w:val="13"/>
                <w:color w:val="0000FF"/>
              </w:rPr>
              <w:t>19,271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center"/>
              <w:ind w:right="284"/>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jc w:val="center"/>
              <w:ind w:left="111"/>
              <w:spacing w:after="0"/>
              <w:rPr>
                <w:sz w:val="20"/>
                <w:szCs w:val="20"/>
                <w:color w:val="auto"/>
              </w:rPr>
            </w:pPr>
            <w:r>
              <w:rPr>
                <w:rFonts w:ascii="Times New Roman" w:cs="Times New Roman" w:eastAsia="Times New Roman" w:hAnsi="Times New Roman"/>
                <w:sz w:val="10"/>
                <w:szCs w:val="10"/>
                <w:color w:val="0000FF"/>
              </w:rPr>
              <w:t>M</w:t>
            </w:r>
          </w:p>
        </w:tc>
        <w:tc>
          <w:tcPr>
            <w:tcW w:w="400" w:type="dxa"/>
            <w:vAlign w:val="bottom"/>
          </w:tcPr>
          <w:p>
            <w:pPr>
              <w:spacing w:after="0"/>
              <w:rPr>
                <w:sz w:val="18"/>
                <w:szCs w:val="18"/>
                <w:color w:val="auto"/>
              </w:rPr>
            </w:pPr>
          </w:p>
        </w:tc>
        <w:tc>
          <w:tcPr>
            <w:tcW w:w="600" w:type="dxa"/>
            <w:vAlign w:val="bottom"/>
          </w:tcPr>
          <w:p>
            <w:pPr>
              <w:jc w:val="center"/>
              <w:ind w:left="327"/>
              <w:spacing w:after="0"/>
              <w:rPr>
                <w:sz w:val="20"/>
                <w:szCs w:val="20"/>
                <w:color w:val="auto"/>
              </w:rPr>
            </w:pPr>
            <w:r>
              <w:rPr>
                <w:rFonts w:ascii="Times New Roman" w:cs="Times New Roman" w:eastAsia="Times New Roman" w:hAnsi="Times New Roman"/>
                <w:sz w:val="13"/>
                <w:szCs w:val="13"/>
                <w:color w:val="0000FF"/>
              </w:rPr>
              <w:t>529</w:t>
            </w:r>
          </w:p>
        </w:tc>
        <w:tc>
          <w:tcPr>
            <w:tcW w:w="2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gridSpan w:val="2"/>
          </w:tcPr>
          <w:p>
            <w:pPr>
              <w:jc w:val="center"/>
              <w:ind w:left="325"/>
              <w:spacing w:after="0"/>
              <w:rPr>
                <w:sz w:val="20"/>
                <w:szCs w:val="20"/>
                <w:color w:val="auto"/>
              </w:rPr>
            </w:pPr>
            <w:r>
              <w:rPr>
                <w:rFonts w:ascii="Times New Roman" w:cs="Times New Roman" w:eastAsia="Times New Roman" w:hAnsi="Times New Roman"/>
                <w:sz w:val="13"/>
                <w:szCs w:val="13"/>
                <w:color w:val="0000FF"/>
              </w:rPr>
              <w:t>19,800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center"/>
              <w:ind w:right="284"/>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0"/>
                <w:szCs w:val="10"/>
                <w:color w:val="0000FF"/>
              </w:rPr>
              <w:t>A</w:t>
            </w:r>
          </w:p>
        </w:tc>
        <w:tc>
          <w:tcPr>
            <w:tcW w:w="4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47"/>
              <w:spacing w:after="0"/>
              <w:rPr>
                <w:sz w:val="20"/>
                <w:szCs w:val="20"/>
                <w:color w:val="auto"/>
              </w:rPr>
            </w:pPr>
            <w:r>
              <w:rPr>
                <w:rFonts w:ascii="Times New Roman" w:cs="Times New Roman" w:eastAsia="Times New Roman" w:hAnsi="Times New Roman"/>
                <w:sz w:val="13"/>
                <w:szCs w:val="13"/>
                <w:color w:val="0000FF"/>
                <w:w w:val="93"/>
              </w:rPr>
              <w:t>15,206</w:t>
            </w:r>
            <w:r>
              <w:rPr>
                <w:rFonts w:ascii="Times New Roman" w:cs="Times New Roman" w:eastAsia="Times New Roman" w:hAnsi="Times New Roman"/>
                <w:sz w:val="17"/>
                <w:szCs w:val="17"/>
                <w:color w:val="008000"/>
                <w:w w:val="93"/>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3"/>
                <w:szCs w:val="13"/>
                <w:color w:val="0000FF"/>
              </w:rPr>
              <w:t>35,006</w:t>
            </w: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0"/>
                <w:szCs w:val="10"/>
                <w:color w:val="0000FF"/>
              </w:rPr>
              <w:t>F</w:t>
            </w:r>
          </w:p>
        </w:tc>
        <w:tc>
          <w:tcPr>
            <w:tcW w:w="4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47"/>
              <w:spacing w:after="0"/>
              <w:rPr>
                <w:sz w:val="20"/>
                <w:szCs w:val="20"/>
                <w:color w:val="auto"/>
              </w:rPr>
            </w:pPr>
            <w:r>
              <w:rPr>
                <w:rFonts w:ascii="Times New Roman" w:cs="Times New Roman" w:eastAsia="Times New Roman" w:hAnsi="Times New Roman"/>
                <w:sz w:val="13"/>
                <w:szCs w:val="13"/>
                <w:color w:val="0000FF"/>
              </w:rPr>
              <w:t>7,237</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6"/>
              </w:rPr>
              <w:t>$</w:t>
            </w:r>
            <w:r>
              <w:rPr>
                <w:rFonts w:ascii="Times New Roman" w:cs="Times New Roman" w:eastAsia="Times New Roman" w:hAnsi="Times New Roman"/>
                <w:sz w:val="13"/>
                <w:szCs w:val="13"/>
                <w:color w:val="0000FF"/>
                <w:w w:val="96"/>
              </w:rPr>
              <w:t>872.39</w:t>
            </w:r>
            <w:r>
              <w:rPr>
                <w:rFonts w:ascii="Times New Roman" w:cs="Times New Roman" w:eastAsia="Times New Roman" w:hAnsi="Times New Roman"/>
                <w:sz w:val="17"/>
                <w:szCs w:val="17"/>
                <w:color w:val="008000"/>
                <w:w w:val="96"/>
                <w:vertAlign w:val="superscript"/>
              </w:rPr>
              <w:t>(2)</w:t>
            </w:r>
          </w:p>
        </w:tc>
        <w:tc>
          <w:tcPr>
            <w:tcW w:w="78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3"/>
                <w:szCs w:val="13"/>
                <w:color w:val="0000FF"/>
              </w:rPr>
              <w:t>27,769</w:t>
            </w: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Voting and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vMerge w:val="restart"/>
          </w:tcPr>
          <w:p>
            <w:pPr>
              <w:jc w:val="center"/>
              <w:ind w:left="305"/>
              <w:spacing w:after="0"/>
              <w:rPr>
                <w:sz w:val="20"/>
                <w:szCs w:val="20"/>
                <w:color w:val="auto"/>
              </w:rPr>
            </w:pPr>
            <w:r>
              <w:rPr>
                <w:rFonts w:ascii="Times New Roman" w:cs="Times New Roman" w:eastAsia="Times New Roman" w:hAnsi="Times New Roman"/>
                <w:sz w:val="13"/>
                <w:szCs w:val="13"/>
                <w:color w:val="0000FF"/>
                <w:w w:val="91"/>
              </w:rPr>
              <w:t>419</w:t>
            </w:r>
            <w:r>
              <w:rPr>
                <w:rFonts w:ascii="Times New Roman" w:cs="Times New Roman" w:eastAsia="Times New Roman" w:hAnsi="Times New Roman"/>
                <w:sz w:val="17"/>
                <w:szCs w:val="17"/>
                <w:color w:val="008000"/>
                <w:w w:val="91"/>
                <w:vertAlign w:val="superscript"/>
              </w:rPr>
              <w:t>(3)</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center"/>
              <w:ind w:right="264"/>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tender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rights under</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401k plan</w:t>
            </w: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440" w:type="dxa"/>
            <w:vAlign w:val="bottom"/>
            <w:tcBorders>
              <w:bottom w:val="single" w:sz="8" w:color="2C2C2C"/>
            </w:tcBorders>
            <w:gridSpan w:val="1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40" w:type="dxa"/>
            <w:vAlign w:val="bottom"/>
            <w:tcBorders>
              <w:top w:val="single" w:sz="8" w:color="2C2C2C"/>
            </w:tcBorders>
            <w:gridSpan w:val="12"/>
          </w:tcPr>
          <w:p>
            <w:pPr>
              <w:jc w:val="right"/>
              <w:ind w:right="1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10"/>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3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30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00" w:type="dxa"/>
            <w:vAlign w:val="bottom"/>
            <w:gridSpan w:val="3"/>
          </w:tcPr>
          <w:p>
            <w:pPr>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jc w:val="center"/>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Securities</w:t>
            </w:r>
          </w:p>
        </w:tc>
        <w:tc>
          <w:tcPr>
            <w:tcW w:w="420" w:type="dxa"/>
            <w:vAlign w:val="bottom"/>
          </w:tcPr>
          <w:p>
            <w:pPr>
              <w:spacing w:after="0"/>
              <w:rPr>
                <w:sz w:val="9"/>
                <w:szCs w:val="9"/>
                <w:color w:val="auto"/>
              </w:rPr>
            </w:pPr>
          </w:p>
        </w:tc>
        <w:tc>
          <w:tcPr>
            <w:tcW w:w="130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40" w:type="dxa"/>
            <w:vAlign w:val="bottom"/>
            <w:gridSpan w:val="2"/>
          </w:tcPr>
          <w:p>
            <w:pPr>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Acquired (A) or</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Disposed of (D)</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3, 4 and 5)</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jc w:val="right"/>
              <w:ind w:right="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ind w:left="100"/>
              <w:spacing w:after="0"/>
              <w:rPr>
                <w:sz w:val="20"/>
                <w:szCs w:val="20"/>
                <w:color w:val="auto"/>
              </w:rPr>
            </w:pPr>
            <w:r>
              <w:rPr>
                <w:rFonts w:ascii="Arial" w:cs="Arial" w:eastAsia="Arial" w:hAnsi="Arial"/>
                <w:sz w:val="9"/>
                <w:szCs w:val="9"/>
                <w:b w:val="1"/>
                <w:bCs w:val="1"/>
                <w:color w:val="auto"/>
                <w:w w:val="92"/>
              </w:rPr>
              <w:t>Date</w:t>
            </w:r>
          </w:p>
        </w:tc>
        <w:tc>
          <w:tcPr>
            <w:tcW w:w="400" w:type="dxa"/>
            <w:vAlign w:val="bottom"/>
          </w:tcPr>
          <w:p>
            <w:pPr>
              <w:spacing w:after="0"/>
              <w:rPr>
                <w:sz w:val="9"/>
                <w:szCs w:val="9"/>
                <w:color w:val="auto"/>
              </w:rPr>
            </w:pPr>
          </w:p>
        </w:tc>
        <w:tc>
          <w:tcPr>
            <w:tcW w:w="600" w:type="dxa"/>
            <w:vAlign w:val="bottom"/>
          </w:tcPr>
          <w:p>
            <w:pPr>
              <w:jc w:val="center"/>
              <w:ind w:right="47"/>
              <w:spacing w:after="0"/>
              <w:rPr>
                <w:sz w:val="20"/>
                <w:szCs w:val="20"/>
                <w:color w:val="auto"/>
              </w:rPr>
            </w:pPr>
            <w:r>
              <w:rPr>
                <w:rFonts w:ascii="Arial" w:cs="Arial" w:eastAsia="Arial" w:hAnsi="Arial"/>
                <w:sz w:val="9"/>
                <w:szCs w:val="9"/>
                <w:b w:val="1"/>
                <w:bCs w:val="1"/>
                <w:color w:val="auto"/>
              </w:rPr>
              <w:t>Expiration</w:t>
            </w: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jc w:val="right"/>
              <w:ind w:right="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jc w:val="right"/>
              <w:ind w:right="209"/>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60" w:type="dxa"/>
            <w:vAlign w:val="bottom"/>
          </w:tcPr>
          <w:p>
            <w:pPr>
              <w:jc w:val="right"/>
              <w:ind w:right="18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06/15/2026</w:t>
            </w:r>
          </w:p>
        </w:tc>
        <w:tc>
          <w:tcPr>
            <w:tcW w:w="880" w:type="dxa"/>
            <w:vAlign w:val="bottom"/>
          </w:tcPr>
          <w:p>
            <w:pPr>
              <w:spacing w:after="0"/>
              <w:rPr>
                <w:sz w:val="17"/>
                <w:szCs w:val="17"/>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Pr>
          <w:p>
            <w:pPr>
              <w:spacing w:after="0"/>
              <w:rPr>
                <w:sz w:val="17"/>
                <w:szCs w:val="17"/>
                <w:color w:val="auto"/>
              </w:rPr>
            </w:pPr>
          </w:p>
        </w:tc>
        <w:tc>
          <w:tcPr>
            <w:tcW w:w="4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0000FF"/>
              </w:rPr>
              <w:t>676</w:t>
            </w:r>
          </w:p>
        </w:tc>
        <w:tc>
          <w:tcPr>
            <w:tcW w:w="300" w:type="dxa"/>
            <w:vAlign w:val="bottom"/>
          </w:tcPr>
          <w:p>
            <w:pPr>
              <w:spacing w:after="0"/>
              <w:rPr>
                <w:sz w:val="17"/>
                <w:szCs w:val="17"/>
                <w:color w:val="auto"/>
              </w:rPr>
            </w:pPr>
          </w:p>
        </w:tc>
        <w:tc>
          <w:tcPr>
            <w:tcW w:w="400" w:type="dxa"/>
            <w:vAlign w:val="bottom"/>
          </w:tcPr>
          <w:p>
            <w:pPr>
              <w:jc w:val="center"/>
              <w:ind w:right="256"/>
              <w:spacing w:after="0"/>
              <w:rPr>
                <w:sz w:val="20"/>
                <w:szCs w:val="20"/>
                <w:color w:val="auto"/>
              </w:rPr>
            </w:pPr>
            <w:r>
              <w:rPr>
                <w:rFonts w:ascii="Times New Roman" w:cs="Times New Roman" w:eastAsia="Times New Roman" w:hAnsi="Times New Roman"/>
                <w:sz w:val="9"/>
                <w:szCs w:val="9"/>
                <w:color w:val="008000"/>
                <w:w w:val="94"/>
              </w:rPr>
              <w:t>(5)</w:t>
            </w:r>
          </w:p>
        </w:tc>
        <w:tc>
          <w:tcPr>
            <w:tcW w:w="600" w:type="dxa"/>
            <w:vAlign w:val="bottom"/>
          </w:tcPr>
          <w:p>
            <w:pPr>
              <w:jc w:val="center"/>
              <w:ind w:right="47"/>
              <w:spacing w:after="0"/>
              <w:rPr>
                <w:sz w:val="20"/>
                <w:szCs w:val="20"/>
                <w:color w:val="auto"/>
              </w:rPr>
            </w:pPr>
            <w:r>
              <w:rPr>
                <w:rFonts w:ascii="Times New Roman" w:cs="Times New Roman" w:eastAsia="Times New Roman" w:hAnsi="Times New Roman"/>
                <w:sz w:val="9"/>
                <w:szCs w:val="9"/>
                <w:color w:val="008000"/>
                <w:w w:val="94"/>
              </w:rPr>
              <w:t>(5)</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676</w:t>
            </w:r>
          </w:p>
        </w:tc>
        <w:tc>
          <w:tcPr>
            <w:tcW w:w="780" w:type="dxa"/>
            <w:vAlign w:val="bottom"/>
            <w:gridSpan w:val="2"/>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0000FF"/>
              </w:rPr>
              <w:t>0</w:t>
            </w:r>
          </w:p>
        </w:tc>
        <w:tc>
          <w:tcPr>
            <w:tcW w:w="2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06/15/2026</w:t>
            </w:r>
          </w:p>
        </w:tc>
        <w:tc>
          <w:tcPr>
            <w:tcW w:w="880" w:type="dxa"/>
            <w:vAlign w:val="bottom"/>
          </w:tcPr>
          <w:p>
            <w:pPr>
              <w:spacing w:after="0"/>
              <w:rPr>
                <w:sz w:val="17"/>
                <w:szCs w:val="17"/>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Pr>
          <w:p>
            <w:pPr>
              <w:spacing w:after="0"/>
              <w:rPr>
                <w:sz w:val="17"/>
                <w:szCs w:val="17"/>
                <w:color w:val="auto"/>
              </w:rPr>
            </w:pPr>
          </w:p>
        </w:tc>
        <w:tc>
          <w:tcPr>
            <w:tcW w:w="4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0000FF"/>
              </w:rPr>
              <w:t>536</w:t>
            </w:r>
          </w:p>
        </w:tc>
        <w:tc>
          <w:tcPr>
            <w:tcW w:w="300" w:type="dxa"/>
            <w:vAlign w:val="bottom"/>
          </w:tcPr>
          <w:p>
            <w:pPr>
              <w:spacing w:after="0"/>
              <w:rPr>
                <w:sz w:val="17"/>
                <w:szCs w:val="17"/>
                <w:color w:val="auto"/>
              </w:rPr>
            </w:pPr>
          </w:p>
        </w:tc>
        <w:tc>
          <w:tcPr>
            <w:tcW w:w="400" w:type="dxa"/>
            <w:vAlign w:val="bottom"/>
          </w:tcPr>
          <w:p>
            <w:pPr>
              <w:jc w:val="center"/>
              <w:ind w:right="256"/>
              <w:spacing w:after="0"/>
              <w:rPr>
                <w:sz w:val="20"/>
                <w:szCs w:val="20"/>
                <w:color w:val="auto"/>
              </w:rPr>
            </w:pPr>
            <w:r>
              <w:rPr>
                <w:rFonts w:ascii="Times New Roman" w:cs="Times New Roman" w:eastAsia="Times New Roman" w:hAnsi="Times New Roman"/>
                <w:sz w:val="9"/>
                <w:szCs w:val="9"/>
                <w:color w:val="008000"/>
                <w:w w:val="94"/>
              </w:rPr>
              <w:t>(6)</w:t>
            </w:r>
          </w:p>
        </w:tc>
        <w:tc>
          <w:tcPr>
            <w:tcW w:w="600" w:type="dxa"/>
            <w:vAlign w:val="bottom"/>
          </w:tcPr>
          <w:p>
            <w:pPr>
              <w:jc w:val="center"/>
              <w:ind w:right="47"/>
              <w:spacing w:after="0"/>
              <w:rPr>
                <w:sz w:val="20"/>
                <w:szCs w:val="20"/>
                <w:color w:val="auto"/>
              </w:rPr>
            </w:pPr>
            <w:r>
              <w:rPr>
                <w:rFonts w:ascii="Times New Roman" w:cs="Times New Roman" w:eastAsia="Times New Roman" w:hAnsi="Times New Roman"/>
                <w:sz w:val="9"/>
                <w:szCs w:val="9"/>
                <w:color w:val="008000"/>
                <w:w w:val="94"/>
              </w:rPr>
              <w:t>(6)</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536</w:t>
            </w:r>
          </w:p>
        </w:tc>
        <w:tc>
          <w:tcPr>
            <w:tcW w:w="780" w:type="dxa"/>
            <w:vAlign w:val="bottom"/>
            <w:gridSpan w:val="2"/>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2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0000FF"/>
              </w:rPr>
              <w:t>536</w:t>
            </w:r>
          </w:p>
        </w:tc>
        <w:tc>
          <w:tcPr>
            <w:tcW w:w="2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06/15/2026</w:t>
            </w:r>
          </w:p>
        </w:tc>
        <w:tc>
          <w:tcPr>
            <w:tcW w:w="880" w:type="dxa"/>
            <w:vAlign w:val="bottom"/>
          </w:tcPr>
          <w:p>
            <w:pPr>
              <w:spacing w:after="0"/>
              <w:rPr>
                <w:sz w:val="17"/>
                <w:szCs w:val="17"/>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Pr>
          <w:p>
            <w:pPr>
              <w:spacing w:after="0"/>
              <w:rPr>
                <w:sz w:val="17"/>
                <w:szCs w:val="17"/>
                <w:color w:val="auto"/>
              </w:rPr>
            </w:pPr>
          </w:p>
        </w:tc>
        <w:tc>
          <w:tcPr>
            <w:tcW w:w="4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0000FF"/>
              </w:rPr>
              <w:t>529</w:t>
            </w:r>
          </w:p>
        </w:tc>
        <w:tc>
          <w:tcPr>
            <w:tcW w:w="300" w:type="dxa"/>
            <w:vAlign w:val="bottom"/>
          </w:tcPr>
          <w:p>
            <w:pPr>
              <w:spacing w:after="0"/>
              <w:rPr>
                <w:sz w:val="17"/>
                <w:szCs w:val="17"/>
                <w:color w:val="auto"/>
              </w:rPr>
            </w:pPr>
          </w:p>
        </w:tc>
        <w:tc>
          <w:tcPr>
            <w:tcW w:w="400" w:type="dxa"/>
            <w:vAlign w:val="bottom"/>
          </w:tcPr>
          <w:p>
            <w:pPr>
              <w:jc w:val="center"/>
              <w:ind w:right="256"/>
              <w:spacing w:after="0"/>
              <w:rPr>
                <w:sz w:val="20"/>
                <w:szCs w:val="20"/>
                <w:color w:val="auto"/>
              </w:rPr>
            </w:pPr>
            <w:r>
              <w:rPr>
                <w:rFonts w:ascii="Times New Roman" w:cs="Times New Roman" w:eastAsia="Times New Roman" w:hAnsi="Times New Roman"/>
                <w:sz w:val="9"/>
                <w:szCs w:val="9"/>
                <w:color w:val="008000"/>
                <w:w w:val="94"/>
              </w:rPr>
              <w:t>(7)</w:t>
            </w:r>
          </w:p>
        </w:tc>
        <w:tc>
          <w:tcPr>
            <w:tcW w:w="600" w:type="dxa"/>
            <w:vAlign w:val="bottom"/>
          </w:tcPr>
          <w:p>
            <w:pPr>
              <w:jc w:val="center"/>
              <w:ind w:right="47"/>
              <w:spacing w:after="0"/>
              <w:rPr>
                <w:sz w:val="20"/>
                <w:szCs w:val="20"/>
                <w:color w:val="auto"/>
              </w:rPr>
            </w:pPr>
            <w:r>
              <w:rPr>
                <w:rFonts w:ascii="Times New Roman" w:cs="Times New Roman" w:eastAsia="Times New Roman" w:hAnsi="Times New Roman"/>
                <w:sz w:val="9"/>
                <w:szCs w:val="9"/>
                <w:color w:val="008000"/>
                <w:w w:val="94"/>
              </w:rPr>
              <w:t>(7)</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529</w:t>
            </w:r>
          </w:p>
        </w:tc>
        <w:tc>
          <w:tcPr>
            <w:tcW w:w="780" w:type="dxa"/>
            <w:vAlign w:val="bottom"/>
            <w:gridSpan w:val="2"/>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00FF"/>
              </w:rPr>
              <w:t>1,060</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(4)</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center"/>
              <w:ind w:right="256"/>
              <w:spacing w:after="0"/>
              <w:rPr>
                <w:sz w:val="20"/>
                <w:szCs w:val="20"/>
                <w:color w:val="auto"/>
              </w:rPr>
            </w:pPr>
            <w:r>
              <w:rPr>
                <w:rFonts w:ascii="Times New Roman" w:cs="Times New Roman" w:eastAsia="Times New Roman" w:hAnsi="Times New Roman"/>
                <w:sz w:val="9"/>
                <w:szCs w:val="9"/>
                <w:color w:val="008000"/>
                <w:w w:val="94"/>
              </w:rPr>
              <w:t>(8)</w:t>
            </w:r>
          </w:p>
        </w:tc>
        <w:tc>
          <w:tcPr>
            <w:tcW w:w="600" w:type="dxa"/>
            <w:vAlign w:val="bottom"/>
          </w:tcPr>
          <w:p>
            <w:pPr>
              <w:jc w:val="center"/>
              <w:ind w:right="47"/>
              <w:spacing w:after="0"/>
              <w:rPr>
                <w:sz w:val="20"/>
                <w:szCs w:val="20"/>
                <w:color w:val="auto"/>
              </w:rPr>
            </w:pPr>
            <w:r>
              <w:rPr>
                <w:rFonts w:ascii="Times New Roman" w:cs="Times New Roman" w:eastAsia="Times New Roman" w:hAnsi="Times New Roman"/>
                <w:sz w:val="9"/>
                <w:szCs w:val="9"/>
                <w:color w:val="008000"/>
                <w:w w:val="94"/>
              </w:rPr>
              <w:t>(8)</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899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0000FF"/>
              </w:rPr>
              <w:t>899</w:t>
            </w:r>
          </w:p>
        </w:tc>
        <w:tc>
          <w:tcPr>
            <w:tcW w:w="2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the number of shares of Common Stock earned upon the vesting of performance-based restricted stock units under Casey's 2024 fiscal year long-term incentive compensation program.</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Closing price of Casey's General Stores, Inc. Common Stock on June 15, 2026.</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Allocated to 401k plan account as of April 30, 2026. Does not include any shares allocated by the plan trustee after that date.</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the right to receive, following vesting, one share of Common Stock.</w:t>
      </w:r>
    </w:p>
    <w:p>
      <w:pPr>
        <w:spacing w:after="0" w:line="40" w:lineRule="exact"/>
        <w:rPr>
          <w:rFonts w:ascii="Times New Roman" w:cs="Times New Roman" w:eastAsia="Times New Roman" w:hAnsi="Times New Roman"/>
          <w:sz w:val="10"/>
          <w:szCs w:val="10"/>
          <w:color w:val="008000"/>
        </w:rPr>
      </w:pPr>
    </w:p>
    <w:p>
      <w:pPr>
        <w:ind w:left="40" w:right="10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terms and conditions of 2018 Stock Incentive Plan. This award vested on June 15, 2026. Not included in the reported award amount is a target amount of performance-based restricted stock units that vested on June 15, 2026, but which are subject to the satisfaction of certain performance criteria other than solely the price of Casey's Common Stock; the final amount of shares earned is reflected above.</w:t>
      </w:r>
    </w:p>
    <w:p>
      <w:pPr>
        <w:spacing w:after="0" w:line="3" w:lineRule="exact"/>
        <w:rPr>
          <w:rFonts w:ascii="Times New Roman" w:cs="Times New Roman" w:eastAsia="Times New Roman" w:hAnsi="Times New Roman"/>
          <w:sz w:val="10"/>
          <w:szCs w:val="10"/>
          <w:color w:val="008000"/>
        </w:rPr>
      </w:pPr>
    </w:p>
    <w:p>
      <w:pPr>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the terms and conditions of the 2018 Stock Incentive Plan. The remainder of this award will vest on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 w:lineRule="exact"/>
        <w:rPr>
          <w:rFonts w:ascii="Times New Roman" w:cs="Times New Roman" w:eastAsia="Times New Roman" w:hAnsi="Times New Roman"/>
          <w:sz w:val="10"/>
          <w:szCs w:val="10"/>
          <w:color w:val="008000"/>
        </w:rPr>
      </w:pPr>
    </w:p>
    <w:p>
      <w:pPr>
        <w:ind w:left="40" w:right="10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the terms and conditions of the 2018 Stock Incentive Plan. The remainder of this award will vest in equal installments on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p>
      <w:pPr>
        <w:spacing w:after="0" w:line="12" w:lineRule="exact"/>
        <w:rPr>
          <w:rFonts w:ascii="Times New Roman" w:cs="Times New Roman" w:eastAsia="Times New Roman" w:hAnsi="Times New Roman"/>
          <w:sz w:val="10"/>
          <w:szCs w:val="10"/>
          <w:color w:val="008000"/>
        </w:rPr>
      </w:pPr>
    </w:p>
    <w:p>
      <w:pPr>
        <w:ind w:left="40" w:right="16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Erika Bertrand, under Power of</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6580" w:type="dxa"/>
            <w:vAlign w:val="bottom"/>
          </w:tcPr>
          <w:p>
            <w:pPr>
              <w:spacing w:after="0"/>
              <w:rPr>
                <w:sz w:val="5"/>
                <w:szCs w:val="5"/>
                <w:color w:val="auto"/>
              </w:rPr>
            </w:pPr>
          </w:p>
        </w:tc>
        <w:tc>
          <w:tcPr>
            <w:tcW w:w="204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Attorney dated December 15, 2025</w:t>
            </w: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188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16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6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7759"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2026-06-17T15:18:45Z</dcterms:created>
  <dcterms:modified xsi:type="dcterms:W3CDTF">2026-06-17T15:18:45Z</dcterms:modified>
</cp:coreProperties>
</file>