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4,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CASEY'S GENERAL STORES,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760" w:type="dxa"/>
        <w:tblCellMar>
          <w:top w:w="0" w:type="dxa"/>
          <w:left w:w="0" w:type="dxa"/>
          <w:bottom w:w="0" w:type="dxa"/>
          <w:right w:w="0" w:type="dxa"/>
        </w:tblCellMar>
      </w:tblPr>
      <w:tr>
        <w:trPr>
          <w:trHeight w:val="220"/>
        </w:trPr>
        <w:tc>
          <w:tcPr>
            <w:tcW w:w="2120" w:type="dxa"/>
            <w:vAlign w:val="bottom"/>
          </w:tcPr>
          <w:p>
            <w:pPr>
              <w:spacing w:after="0"/>
              <w:rPr>
                <w:sz w:val="19"/>
                <w:szCs w:val="19"/>
                <w:color w:val="auto"/>
              </w:rPr>
            </w:pPr>
          </w:p>
        </w:tc>
        <w:tc>
          <w:tcPr>
            <w:tcW w:w="6080" w:type="dxa"/>
            <w:vAlign w:val="bottom"/>
          </w:tcPr>
          <w:p>
            <w:pPr>
              <w:jc w:val="center"/>
              <w:ind w:right="2490"/>
              <w:spacing w:after="0"/>
              <w:rPr>
                <w:sz w:val="20"/>
                <w:szCs w:val="20"/>
                <w:color w:val="auto"/>
              </w:rPr>
            </w:pPr>
            <w:r>
              <w:rPr>
                <w:rFonts w:ascii="Times New Roman" w:cs="Times New Roman" w:eastAsia="Times New Roman" w:hAnsi="Times New Roman"/>
                <w:sz w:val="18"/>
                <w:szCs w:val="18"/>
                <w:b w:val="1"/>
                <w:bCs w:val="1"/>
                <w:color w:val="auto"/>
                <w:w w:val="99"/>
              </w:rPr>
              <w:t>Iowa</w:t>
            </w:r>
          </w:p>
        </w:tc>
      </w:tr>
      <w:tr>
        <w:trPr>
          <w:trHeight w:val="234"/>
        </w:trPr>
        <w:tc>
          <w:tcPr>
            <w:tcW w:w="2120" w:type="dxa"/>
            <w:vAlign w:val="bottom"/>
          </w:tcPr>
          <w:p>
            <w:pPr>
              <w:spacing w:after="0"/>
              <w:rPr>
                <w:sz w:val="20"/>
                <w:szCs w:val="20"/>
                <w:color w:val="auto"/>
              </w:rPr>
            </w:pPr>
          </w:p>
        </w:tc>
        <w:tc>
          <w:tcPr>
            <w:tcW w:w="6080" w:type="dxa"/>
            <w:vAlign w:val="bottom"/>
          </w:tcPr>
          <w:p>
            <w:pPr>
              <w:jc w:val="center"/>
              <w:ind w:right="25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r>
      <w:tr>
        <w:trPr>
          <w:trHeight w:val="414"/>
        </w:trPr>
        <w:tc>
          <w:tcPr>
            <w:tcW w:w="21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001-34700</w:t>
            </w:r>
          </w:p>
        </w:tc>
        <w:tc>
          <w:tcPr>
            <w:tcW w:w="608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42-0935283</w:t>
            </w:r>
          </w:p>
        </w:tc>
      </w:tr>
      <w:tr>
        <w:trPr>
          <w:trHeight w:val="212"/>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(Commission File Number)</w:t>
            </w:r>
          </w:p>
        </w:tc>
        <w:tc>
          <w:tcPr>
            <w:tcW w:w="6080" w:type="dxa"/>
            <w:vAlign w:val="bottom"/>
          </w:tcPr>
          <w:p>
            <w:pPr>
              <w:jc w:val="center"/>
              <w:ind w:left="305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20"/>
        </w:trPr>
        <w:tc>
          <w:tcPr>
            <w:tcW w:w="2120" w:type="dxa"/>
            <w:vAlign w:val="bottom"/>
          </w:tcPr>
          <w:p>
            <w:pPr>
              <w:spacing w:after="0"/>
              <w:rPr>
                <w:sz w:val="19"/>
                <w:szCs w:val="19"/>
                <w:color w:val="auto"/>
              </w:rPr>
            </w:pPr>
          </w:p>
        </w:tc>
        <w:tc>
          <w:tcPr>
            <w:tcW w:w="6080" w:type="dxa"/>
            <w:vAlign w:val="bottom"/>
          </w:tcPr>
          <w:p>
            <w:pPr>
              <w:jc w:val="center"/>
              <w:ind w:right="2510"/>
              <w:spacing w:after="0"/>
              <w:rPr>
                <w:sz w:val="20"/>
                <w:szCs w:val="20"/>
                <w:color w:val="auto"/>
              </w:rPr>
            </w:pPr>
            <w:r>
              <w:rPr>
                <w:rFonts w:ascii="Times New Roman" w:cs="Times New Roman" w:eastAsia="Times New Roman" w:hAnsi="Times New Roman"/>
                <w:sz w:val="18"/>
                <w:szCs w:val="18"/>
                <w:b w:val="1"/>
                <w:bCs w:val="1"/>
                <w:color w:val="auto"/>
                <w:w w:val="99"/>
              </w:rPr>
              <w:t>One SE Convenience Blvd., Ankeny, Iowa</w:t>
            </w:r>
          </w:p>
        </w:tc>
      </w:tr>
      <w:tr>
        <w:trPr>
          <w:trHeight w:val="234"/>
        </w:trPr>
        <w:tc>
          <w:tcPr>
            <w:tcW w:w="2120" w:type="dxa"/>
            <w:vAlign w:val="bottom"/>
          </w:tcPr>
          <w:p>
            <w:pPr>
              <w:spacing w:after="0"/>
              <w:rPr>
                <w:sz w:val="20"/>
                <w:szCs w:val="20"/>
                <w:color w:val="auto"/>
              </w:rPr>
            </w:pPr>
          </w:p>
        </w:tc>
        <w:tc>
          <w:tcPr>
            <w:tcW w:w="6080" w:type="dxa"/>
            <w:vAlign w:val="bottom"/>
          </w:tcPr>
          <w:p>
            <w:pPr>
              <w:jc w:val="center"/>
              <w:ind w:right="249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r>
        <w:trPr>
          <w:trHeight w:val="414"/>
        </w:trPr>
        <w:tc>
          <w:tcPr>
            <w:tcW w:w="2120" w:type="dxa"/>
            <w:vAlign w:val="bottom"/>
          </w:tcPr>
          <w:p>
            <w:pPr>
              <w:spacing w:after="0"/>
              <w:rPr>
                <w:sz w:val="24"/>
                <w:szCs w:val="24"/>
                <w:color w:val="auto"/>
              </w:rPr>
            </w:pPr>
          </w:p>
        </w:tc>
        <w:tc>
          <w:tcPr>
            <w:tcW w:w="6080" w:type="dxa"/>
            <w:vAlign w:val="bottom"/>
          </w:tcPr>
          <w:p>
            <w:pPr>
              <w:jc w:val="right"/>
              <w:ind w:right="4030"/>
              <w:spacing w:after="0"/>
              <w:rPr>
                <w:sz w:val="20"/>
                <w:szCs w:val="20"/>
                <w:color w:val="auto"/>
              </w:rPr>
            </w:pPr>
            <w:r>
              <w:rPr>
                <w:rFonts w:ascii="Times New Roman" w:cs="Times New Roman" w:eastAsia="Times New Roman" w:hAnsi="Times New Roman"/>
                <w:sz w:val="18"/>
                <w:szCs w:val="18"/>
                <w:b w:val="1"/>
                <w:bCs w:val="1"/>
                <w:color w:val="auto"/>
              </w:rPr>
              <w:t>50021</w:t>
            </w:r>
          </w:p>
        </w:tc>
      </w:tr>
      <w:tr>
        <w:trPr>
          <w:trHeight w:val="234"/>
        </w:trPr>
        <w:tc>
          <w:tcPr>
            <w:tcW w:w="2120" w:type="dxa"/>
            <w:vAlign w:val="bottom"/>
          </w:tcPr>
          <w:p>
            <w:pPr>
              <w:spacing w:after="0"/>
              <w:rPr>
                <w:sz w:val="20"/>
                <w:szCs w:val="20"/>
                <w:color w:val="auto"/>
              </w:rPr>
            </w:pPr>
          </w:p>
        </w:tc>
        <w:tc>
          <w:tcPr>
            <w:tcW w:w="6080" w:type="dxa"/>
            <w:vAlign w:val="bottom"/>
          </w:tcPr>
          <w:p>
            <w:pPr>
              <w:jc w:val="center"/>
              <w:ind w:right="251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2120" w:type="dxa"/>
            <w:vAlign w:val="bottom"/>
          </w:tcPr>
          <w:p>
            <w:pPr>
              <w:spacing w:after="0"/>
              <w:rPr>
                <w:sz w:val="24"/>
                <w:szCs w:val="24"/>
                <w:color w:val="auto"/>
              </w:rPr>
            </w:pPr>
          </w:p>
        </w:tc>
        <w:tc>
          <w:tcPr>
            <w:tcW w:w="6080" w:type="dxa"/>
            <w:vAlign w:val="bottom"/>
          </w:tcPr>
          <w:p>
            <w:pPr>
              <w:jc w:val="right"/>
              <w:ind w:right="3750"/>
              <w:spacing w:after="0"/>
              <w:rPr>
                <w:sz w:val="20"/>
                <w:szCs w:val="20"/>
                <w:color w:val="auto"/>
              </w:rPr>
            </w:pPr>
            <w:r>
              <w:rPr>
                <w:rFonts w:ascii="Times New Roman" w:cs="Times New Roman" w:eastAsia="Times New Roman" w:hAnsi="Times New Roman"/>
                <w:sz w:val="18"/>
                <w:szCs w:val="18"/>
                <w:b w:val="1"/>
                <w:bCs w:val="1"/>
                <w:color w:val="auto"/>
              </w:rPr>
              <w:t>515/965-6100</w:t>
            </w:r>
          </w:p>
        </w:tc>
      </w:tr>
      <w:tr>
        <w:trPr>
          <w:trHeight w:val="234"/>
        </w:trPr>
        <w:tc>
          <w:tcPr>
            <w:tcW w:w="820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14"/>
        </w:trPr>
        <w:tc>
          <w:tcPr>
            <w:tcW w:w="2120" w:type="dxa"/>
            <w:vAlign w:val="bottom"/>
          </w:tcPr>
          <w:p>
            <w:pPr>
              <w:spacing w:after="0"/>
              <w:rPr>
                <w:sz w:val="24"/>
                <w:szCs w:val="24"/>
                <w:color w:val="auto"/>
              </w:rPr>
            </w:pPr>
          </w:p>
        </w:tc>
        <w:tc>
          <w:tcPr>
            <w:tcW w:w="6080" w:type="dxa"/>
            <w:vAlign w:val="bottom"/>
          </w:tcPr>
          <w:p>
            <w:pPr>
              <w:jc w:val="center"/>
              <w:ind w:right="2510"/>
              <w:spacing w:after="0"/>
              <w:rPr>
                <w:sz w:val="20"/>
                <w:szCs w:val="20"/>
                <w:color w:val="auto"/>
              </w:rPr>
            </w:pPr>
            <w:r>
              <w:rPr>
                <w:rFonts w:ascii="Times New Roman" w:cs="Times New Roman" w:eastAsia="Times New Roman" w:hAnsi="Times New Roman"/>
                <w:sz w:val="18"/>
                <w:szCs w:val="18"/>
                <w:b w:val="1"/>
                <w:bCs w:val="1"/>
                <w:color w:val="auto"/>
                <w:w w:val="99"/>
              </w:rPr>
              <w:t>NONE</w:t>
            </w:r>
          </w:p>
        </w:tc>
      </w:tr>
      <w:tr>
        <w:trPr>
          <w:trHeight w:val="234"/>
        </w:trPr>
        <w:tc>
          <w:tcPr>
            <w:tcW w:w="820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no par value per share</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CASY</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98" w:lineRule="exact"/>
        <w:rPr>
          <w:sz w:val="24"/>
          <w:szCs w:val="24"/>
          <w:color w:val="auto"/>
        </w:rPr>
      </w:pPr>
    </w:p>
    <w:p>
      <w:pPr>
        <w:ind w:right="6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ind w:left="820" w:right="26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5.02. </w:t>
      </w:r>
      <w:r>
        <w:rPr>
          <w:rFonts w:ascii="Times New Roman" w:cs="Times New Roman" w:eastAsia="Times New Roman" w:hAnsi="Times New Roman"/>
          <w:sz w:val="18"/>
          <w:szCs w:val="18"/>
          <w:b w:val="1"/>
          <w:bCs w:val="1"/>
          <w:u w:val="single" w:color="auto"/>
          <w:color w:val="auto"/>
        </w:rPr>
        <w:t>Departure of Directors or Certain Officers; Election of Directors; Appointment of Certain Officers; Compensatory Arrangements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Certain Officers</w:t>
      </w:r>
    </w:p>
    <w:p>
      <w:pPr>
        <w:spacing w:after="0" w:line="15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June 4, 2026, the Board of Directors (the “Board”) of Casey’s General Stores, Inc. (the “Company”) (i) expanded the size of the Board from eleven to twelve directors, and (ii) appointed Stanley J. Sutula III to fill the vacancy created by the expansion, and (iii) appointed Mr. Sutula to serve on the Audit Committee, each effective as of June 4, 2026. Mr. Sutula will also stand for election at the Company’s 2026 annual shareholders’ meeting, currently scheduled for September 2, 2026 (the “Annual Meeting”).</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non-employee director, Mr. Sutula will be entitled to receive the same compensation payable to other non-employee directors of the Company, prorated through the date of the Annual Meeting, the most recent description of which is included in the Company's proxy statement (Schedule 14A) for the annual meeting of shareholders that was held on August 29, 2025.</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Mr. Sutula was not selected as a director pursuant to any arrangements or understandings with the Company or with any other person, and there are no transactions between the Company and Mr. Sutula that would require disclosure under Item 404(a) of Regulation S-K.</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Additionally, on June 4, 2026, director Cara Heiden notified the Company that she will not stand for re-election and will retire from the Board at the expiration of her current term, which runs through the Annual Meeting. As a result, at the conclusion of the Annual Meeting the size of the Board will be reduced from twelve to eleven members. Ms. Heiden has advised the Company that her decision not to stand for re-election and to retire is not due to any disagreement with the Company on any matter relating to its operations, policies or practices.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7.01. </w:t>
      </w:r>
      <w:r>
        <w:rPr>
          <w:rFonts w:ascii="Times New Roman" w:cs="Times New Roman" w:eastAsia="Times New Roman" w:hAnsi="Times New Roman"/>
          <w:sz w:val="18"/>
          <w:szCs w:val="18"/>
          <w:b w:val="1"/>
          <w:bCs w:val="1"/>
          <w:u w:val="single" w:color="auto"/>
          <w:color w:val="auto"/>
        </w:rPr>
        <w:t>Regulation FD Disclosure</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June 8, 2026, the Company issued a press release announcing Mr. Sutula’s appointment to the Board, and Ms. Heiden’s retirement as of the Annual Meeting. A copy of the press release is attached hereto as Exhibit 99.1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9.01. </w:t>
      </w:r>
      <w:r>
        <w:rPr>
          <w:rFonts w:ascii="Times New Roman" w:cs="Times New Roman" w:eastAsia="Times New Roman" w:hAnsi="Times New Roman"/>
          <w:sz w:val="18"/>
          <w:szCs w:val="18"/>
          <w:b w:val="1"/>
          <w:bCs w:val="1"/>
          <w:u w:val="single" w:color="auto"/>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0"/>
                <w:szCs w:val="20"/>
                <w:color w:val="auto"/>
              </w:rPr>
            </w:pPr>
          </w:p>
        </w:tc>
        <w:tc>
          <w:tcPr>
            <w:tcW w:w="9040" w:type="dxa"/>
            <w:vAlign w:val="bottom"/>
          </w:tcPr>
          <w:p>
            <w:pPr>
              <w:spacing w:after="0"/>
              <w:rPr>
                <w:sz w:val="20"/>
                <w:szCs w:val="20"/>
                <w:color w:val="auto"/>
              </w:rPr>
            </w:pPr>
          </w:p>
        </w:tc>
      </w:tr>
      <w:tr>
        <w:trPr>
          <w:trHeight w:val="391"/>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r>
      <w:tr>
        <w:trPr>
          <w:trHeight w:val="41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5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issued by Casey’s General Stores, Inc. dated June 8, 2026</w:t>
            </w:r>
          </w:p>
        </w:tc>
      </w:tr>
      <w:tr>
        <w:trPr>
          <w:trHeight w:val="419"/>
        </w:trPr>
        <w:tc>
          <w:tcPr>
            <w:tcW w:w="32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CASEY'S GENERAL STORES, INC.</w:t>
      </w:r>
    </w:p>
    <w:p>
      <w:pPr>
        <w:spacing w:after="0" w:line="225" w:lineRule="exact"/>
        <w:rPr>
          <w:sz w:val="20"/>
          <w:szCs w:val="20"/>
          <w:color w:val="auto"/>
        </w:rPr>
      </w:pPr>
    </w:p>
    <w:p>
      <w:pPr>
        <w:ind w:left="2120"/>
        <w:spacing w:after="0"/>
        <w:tabs>
          <w:tab w:leader="none" w:pos="5620" w:val="left"/>
        </w:tabs>
        <w:rPr>
          <w:sz w:val="20"/>
          <w:szCs w:val="20"/>
          <w:color w:val="auto"/>
        </w:rPr>
      </w:pPr>
      <w:r>
        <w:rPr>
          <w:rFonts w:ascii="Times New Roman" w:cs="Times New Roman" w:eastAsia="Times New Roman" w:hAnsi="Times New Roman"/>
          <w:sz w:val="18"/>
          <w:szCs w:val="18"/>
          <w:color w:val="auto"/>
        </w:rPr>
        <w:t>Dated: June 8, 2026</w:t>
      </w:r>
      <w:r>
        <w:rPr>
          <w:sz w:val="20"/>
          <w:szCs w:val="20"/>
          <w:color w:val="auto"/>
        </w:rPr>
        <w:tab/>
      </w:r>
      <w:r>
        <w:rPr>
          <w:rFonts w:ascii="Times New Roman" w:cs="Times New Roman" w:eastAsia="Times New Roman" w:hAnsi="Times New Roman"/>
          <w:sz w:val="17"/>
          <w:szCs w:val="17"/>
          <w:color w:val="auto"/>
        </w:rPr>
        <w:t>By: /s/ Stephen P. Bramlage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Stephen P. Bramlage Jr.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19685</wp:posOffset>
            </wp:positionV>
            <wp:extent cx="1088390" cy="925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839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Casey’s Announces Addition of Finance Leader Stanley J. Sutula III to its Board of Directors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ANKENY, Iowa, June 8, 2026 – (Business Wire) – Casey’s General Stores, Inc. (Nasdaq: CASY), the third largest convenience retailer and fifth largest pizza chain in the United States, today announced the appointment of Stanley J. Sutula III to its Board of Directors (the “Board”).</w:t>
      </w:r>
    </w:p>
    <w:p>
      <w:pPr>
        <w:spacing w:after="0" w:line="162"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Mr. Sutula brings to the Board over 35 years of experience in corporate finance, financial planning and operations, tax, strategic planning and risk management. Since 2020, he has served as Chief Financial Officer at Colgate-Palmolive Company (NYSE: CL), where he oversees its global finance, global IT and mergers and acquisitions teams. He was previously at Pitney Bowes Inc. (NYSE: PBI), where he served as Executive VP and Chief Financial Officer, and spent 28 years at IBM Corporation (NYSE: IBM) in various financial management roles, including as its Vice President and Controller.</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excited to welcome Stan to the Board as he adds deep financial and strategic expertise to our already expansive board capabilities. His leadership in these areas will benefit Casey’s, the Board and its shareholders immensely,” said Darren Rebelez, Casey’s Board Chair, President and CEO.</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Mr. Sutula graduated from Northeastern University with a degree in Finance &amp; Management and holds an MBA in Finance from Fordham University’s Gabelli School of Business.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Mr. Sutula’s addition to the Board will temporarily bring the number of directors from eleven to twelve, as director Cara Heiden has decided to retire from the Board effective September 2, 2026. “On behalf of the Board and the entire Casey’s team, I want to extend a sincere thank you to Cara for nearly a decade of distinguished service and leadership on the Board and its Audit Committee. She helped build Casey’s into the great organization it is today and we wish her nothing but the best in her retirement from the Board in September,” said Rebelez.</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Casey’s</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u w:val="single" w:color="auto"/>
          <w:color w:val="auto"/>
        </w:rPr>
        <w:t>Casey’s</w:t>
      </w:r>
      <w:r>
        <w:rPr>
          <w:rFonts w:ascii="Times New Roman" w:cs="Times New Roman" w:eastAsia="Times New Roman" w:hAnsi="Times New Roman"/>
          <w:sz w:val="18"/>
          <w:szCs w:val="18"/>
          <w:color w:val="auto"/>
        </w:rPr>
        <w:t xml:space="preserve"> is a Fortune 500 company (Nasdaq: CASY) operating over 2,900 </w:t>
      </w:r>
      <w:r>
        <w:rPr>
          <w:rFonts w:ascii="Times New Roman" w:cs="Times New Roman" w:eastAsia="Times New Roman" w:hAnsi="Times New Roman"/>
          <w:sz w:val="18"/>
          <w:szCs w:val="18"/>
          <w:u w:val="single" w:color="auto"/>
          <w:color w:val="auto"/>
        </w:rPr>
        <w:t>convenience stores</w:t>
      </w:r>
      <w:r>
        <w:rPr>
          <w:rFonts w:ascii="Times New Roman" w:cs="Times New Roman" w:eastAsia="Times New Roman" w:hAnsi="Times New Roman"/>
          <w:sz w:val="18"/>
          <w:szCs w:val="18"/>
          <w:color w:val="auto"/>
        </w:rPr>
        <w:t xml:space="preserve">. Founded more than 50 years ago, the company has grown to become the third-largest convenience store retailer and the fifth-largest pizza chain in the United States. Casey’s provides freshly prepared foods, </w:t>
      </w:r>
      <w:r>
        <w:rPr>
          <w:rFonts w:ascii="Times New Roman" w:cs="Times New Roman" w:eastAsia="Times New Roman" w:hAnsi="Times New Roman"/>
          <w:sz w:val="18"/>
          <w:szCs w:val="18"/>
          <w:u w:val="single" w:color="auto"/>
          <w:color w:val="auto"/>
        </w:rPr>
        <w:t>quality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fuel</w:t>
      </w:r>
      <w:r>
        <w:rPr>
          <w:rFonts w:ascii="Times New Roman" w:cs="Times New Roman" w:eastAsia="Times New Roman" w:hAnsi="Times New Roman"/>
          <w:sz w:val="18"/>
          <w:szCs w:val="18"/>
          <w:color w:val="auto"/>
        </w:rPr>
        <w:t xml:space="preserve"> and friendly service at its locations. Guests can enjoy </w:t>
      </w:r>
      <w:r>
        <w:rPr>
          <w:rFonts w:ascii="Times New Roman" w:cs="Times New Roman" w:eastAsia="Times New Roman" w:hAnsi="Times New Roman"/>
          <w:sz w:val="18"/>
          <w:szCs w:val="18"/>
          <w:u w:val="single" w:color="auto"/>
          <w:color w:val="auto"/>
        </w:rPr>
        <w:t>pizza</w:t>
      </w:r>
      <w:r>
        <w:rPr>
          <w:rFonts w:ascii="Times New Roman" w:cs="Times New Roman" w:eastAsia="Times New Roman" w:hAnsi="Times New Roman"/>
          <w:sz w:val="18"/>
          <w:szCs w:val="18"/>
          <w:color w:val="auto"/>
        </w:rPr>
        <w:t xml:space="preserve">, donuts, other assorted </w:t>
      </w:r>
      <w:r>
        <w:rPr>
          <w:rFonts w:ascii="Times New Roman" w:cs="Times New Roman" w:eastAsia="Times New Roman" w:hAnsi="Times New Roman"/>
          <w:sz w:val="18"/>
          <w:szCs w:val="18"/>
          <w:u w:val="single" w:color="auto"/>
          <w:color w:val="auto"/>
        </w:rPr>
        <w:t>bakery items</w:t>
      </w:r>
      <w:r>
        <w:rPr>
          <w:rFonts w:ascii="Times New Roman" w:cs="Times New Roman" w:eastAsia="Times New Roman" w:hAnsi="Times New Roman"/>
          <w:sz w:val="18"/>
          <w:szCs w:val="18"/>
          <w:color w:val="auto"/>
        </w:rPr>
        <w:t xml:space="preserve">, and a wide selection of beverages and snacks. Learn more and order online at </w:t>
      </w:r>
      <w:r>
        <w:rPr>
          <w:rFonts w:ascii="Times New Roman" w:cs="Times New Roman" w:eastAsia="Times New Roman" w:hAnsi="Times New Roman"/>
          <w:sz w:val="18"/>
          <w:szCs w:val="18"/>
          <w:u w:val="single" w:color="auto"/>
          <w:color w:val="auto"/>
        </w:rPr>
        <w:t>www.caseys.com</w:t>
      </w:r>
      <w:r>
        <w:rPr>
          <w:rFonts w:ascii="Times New Roman" w:cs="Times New Roman" w:eastAsia="Times New Roman" w:hAnsi="Times New Roman"/>
          <w:sz w:val="18"/>
          <w:szCs w:val="18"/>
          <w:color w:val="auto"/>
        </w:rPr>
        <w:t>, or in the mobile app.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Johnson (515) 446-6587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Brian.johnson@caseys.com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Katie Petru (515) 446-6772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Katie.petru@caseys.com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2026-06-08T15:29:36Z</dcterms:created>
  <dcterms:modified xsi:type="dcterms:W3CDTF">2026-06-08T15:29:36Z</dcterms:modified>
</cp:coreProperties>
</file>